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Gegen-Gutachten-Notiz Wallner und Partner (Erweiterung)</w:t>
      </w:r>
    </w:p>
    <w:p>
      <w:pPr>
        <w:jc w:val="left"/>
      </w:pPr>
      <w:r>
        <w:rPr>
          <w:b/>
        </w:rPr>
        <w:t>Erfasser:</w:t>
      </w:r>
      <w:r>
        <w:t xml:space="preserve"> Referendar Trauthwein (Kanzlei Knoblauch)</w:t>
      </w:r>
    </w:p>
    <w:p>
      <w:pPr>
        <w:jc w:val="left"/>
      </w:pPr>
      <w:r>
        <w:rPr>
          <w:b/>
        </w:rPr>
        <w:t>Datum:</w:t>
      </w:r>
      <w:r>
        <w:t xml:space="preserve"> 26.01.2026</w:t>
      </w:r>
    </w:p>
    <w:p>
      <w:pPr>
        <w:jc w:val="left"/>
      </w:pPr>
      <w:r>
        <w:rPr>
          <w:b/>
        </w:rPr>
        <w:t>Gespräch mit:</w:t>
      </w:r>
      <w:r>
        <w:t xml:space="preserve"> Dipl.-Ing. Anette Wallner (Sachverstaendigenbuero Wallner und Partner, Burgstrasse 12, 93047 Regensburg)</w:t>
      </w:r>
    </w:p>
    <w:p>
      <w:pPr>
        <w:jc w:val="left"/>
      </w:pPr>
      <w:r>
        <w:rPr>
          <w:b/>
        </w:rPr>
        <w:t>Anlass:</w:t>
      </w:r>
      <w:r>
        <w:t xml:space="preserve"> Erweiterung des Privatgutachtens K 4 vom 18.05.2024 nach der gerichtlichen Anhörung am 22.01.2026</w:t>
      </w:r>
    </w:p>
    <w:p>
      <w:pPr>
        <w:jc w:val="left"/>
      </w:pPr>
      <w:r>
        <w:rPr>
          <w:b/>
        </w:rPr>
        <w:t>Auftragsumfang:</w:t>
      </w:r>
      <w:r>
        <w:t xml:space="preserve"> "Wallner II", siehe Kostenkalkulation 11_kostenkalkulation_privatgutachten.csv</w:t>
      </w:r>
    </w:p>
    <w:p>
      <w:pPr>
        <w:pStyle w:val="Heading2"/>
      </w:pPr>
      <w:r>
        <w:rPr>
          <w:rFonts w:ascii="Times New Roman" w:hAnsi="Times New Roman"/>
        </w:rPr>
        <w:t>A. Inhaltliche Skizze (Wallner)</w:t>
      </w:r>
    </w:p>
    <w:p>
      <w:pPr>
        <w:jc w:val="left"/>
      </w:pPr>
      <w:r>
        <w:t>Frau Wallner hat das Gutachten Pfaffenberger sowie das Anhörungsprotokoll gesichtet. Ihre fachliche Erstreaktion:</w:t>
      </w:r>
    </w:p>
    <w:p>
      <w:pPr>
        <w:pStyle w:val="ListNumber"/>
      </w:pPr>
      <w:r>
        <w:rPr>
          <w:b/>
        </w:rPr>
        <w:t>Anlagenleistung.</w:t>
      </w:r>
      <w:r>
        <w:t xml:space="preserve"> Die theoretische Berechnung mit PV*SOL premium sei sachgerecht, ersetze jedoch keine Direktmessung. Eine Stranganalyse hätte in zwei bis drei Stunden Klarheit darüber gebracht, ob einzelne Modulstrings im Betrieb deutlich unter Soll liefern. Ohne diese Messung bleibt die Beurteilung statistisch begrenzt.</w:t>
      </w:r>
    </w:p>
    <w:p>
      <w:pPr>
        <w:pStyle w:val="ListNumber"/>
      </w:pPr>
      <w:r>
        <w:rPr>
          <w:b/>
        </w:rPr>
        <w:t>Wechselrichter.</w:t>
      </w:r>
      <w:r>
        <w:t xml:space="preserve"> Die Wechselrichter Solartec-Bavaria SB-25 haben einen bekannten Schwachpunkt im Tempergie-Sensor-Modul. Eine Öffnung wäre fachlich geboten gewesen. Ohne Öffnung ist keine Aussage zu der Frage möglich, ob die Ausfälle 08/2023 mit einer Hardware-Schwäche oder mit der Netzeinspeisung (Argumentation Burgwald) zusammenhängen.</w:t>
      </w:r>
    </w:p>
    <w:p>
      <w:pPr>
        <w:pStyle w:val="ListNumber"/>
      </w:pPr>
      <w:r>
        <w:rPr>
          <w:b/>
        </w:rPr>
        <w:t>Modulhalter und Wassereintritt.</w:t>
      </w:r>
      <w:r>
        <w:t xml:space="preserve"> Eine Stichprobe (drei Halter) wäre ausreichend gewesen, um die Wassereintrittstheorie zu prüfen. Ohne Demontage ist eine Bewertung der Modulhalter-Mangelhaftigkeit nicht möglich. Frau Wallner erinnert daran, dass im Wallner-I-Gutachten die Halter durch Lichtaufnahmen und Wischtest dokumentiert wurden — Pfaffenberger geht darauf nicht ein.</w:t>
      </w:r>
    </w:p>
    <w:p>
      <w:pPr>
        <w:pStyle w:val="ListNumber"/>
      </w:pPr>
      <w:r>
        <w:rPr>
          <w:b/>
        </w:rPr>
        <w:t>Mangelbeseitigungskosten.</w:t>
      </w:r>
      <w:r>
        <w:t xml:space="preserve"> Die im Pfaffenberger-Gutachten genannten "ca. 40.000 bis 60.000 EUR" sind ohne erkennbare Aufschlüsselung. Wallner-I hatte 49.600 EUR mit Detail-Aufstellung. Eine seroese Sachverstaendigenbewertung muss sich mit der vorgelegten Kalkulation auseinandersetzen — Methode Pfaffenberger ist intransparent.</w:t>
      </w:r>
    </w:p>
    <w:p>
      <w:pPr>
        <w:pStyle w:val="ListNumber"/>
      </w:pPr>
      <w:r>
        <w:rPr>
          <w:b/>
        </w:rPr>
        <w:t>VDE-AR-N 4105.</w:t>
      </w:r>
      <w:r>
        <w:t xml:space="preserve"> Wallner bestätigt: die VDE-AR-N 4105 betrifft den Anschluss von Erzeugungsanlagen an Niederspannungsnetze. Für die Installation der Wechselrichter im Inneren der Anlage wäre die VDE 0126-1-1 (oder die einschlägige Herstellerrichtlinie) zu zitieren gewesen. Pfaffenbergers Korrektur in der Stellungnahme 08.01.2026 ist sachlich richtig, jedoch nicht ausreichend — der Fehler im Gutachten bleibt.</w:t>
      </w:r>
    </w:p>
    <w:p>
      <w:pPr>
        <w:pStyle w:val="Heading2"/>
      </w:pPr>
      <w:r>
        <w:rPr>
          <w:rFonts w:ascii="Times New Roman" w:hAnsi="Times New Roman"/>
        </w:rPr>
        <w:t>B. Methodischer Befund Wallner-II (Skizze)</w:t>
      </w:r>
    </w:p>
    <w:p>
      <w:pPr>
        <w:jc w:val="left"/>
      </w:pPr>
      <w:r>
        <w:t>Frau Wallner schlägt für das Wallner-II-Gutachten folgende Struktur vor (ca. 30 Seiten):</w:t>
      </w:r>
    </w:p>
    <w:p>
      <w:pPr>
        <w:pStyle w:val="ListNumber"/>
      </w:pPr>
      <w:r>
        <w:t>Direkte Messung der Anlagenleistung an einem Sonnen-mittleren Tag (Pyranometer-Methode).</w:t>
      </w:r>
    </w:p>
    <w:p>
      <w:pPr>
        <w:pStyle w:val="ListNumber"/>
      </w:pPr>
      <w:r>
        <w:t>Stranganalyse zur Identifikation möglicher Schwachstellen.</w:t>
      </w:r>
    </w:p>
    <w:p>
      <w:pPr>
        <w:pStyle w:val="ListNumber"/>
      </w:pPr>
      <w:r>
        <w:t>Öffnung von zwei Wechselrichtern unter Beobachtung und Foto-Dokumentation.</w:t>
      </w:r>
    </w:p>
    <w:p>
      <w:pPr>
        <w:pStyle w:val="ListNumber"/>
      </w:pPr>
      <w:r>
        <w:t>Demontage von drei Modulhaltern als Stichprobe (Verhaeltnisgrad).</w:t>
      </w:r>
    </w:p>
    <w:p>
      <w:pPr>
        <w:pStyle w:val="ListNumber"/>
      </w:pPr>
      <w:r>
        <w:t>Inaugenscheinnahme der Wassereintrittsstellen mit Endoskop-Kamera.</w:t>
      </w:r>
    </w:p>
    <w:p>
      <w:pPr>
        <w:pStyle w:val="ListNumber"/>
      </w:pPr>
      <w:r>
        <w:t>Mess-Vergleich zwischen Sommer 2025 und Sommer 2026 (Verschattung Pappeln) zur Verifikation der Burgwald-Theorie.</w:t>
      </w:r>
    </w:p>
    <w:p>
      <w:pPr>
        <w:pStyle w:val="ListNumber"/>
      </w:pPr>
      <w:r>
        <w:t>Aufschlüsselung Mangelbeseitigungskosten unter Berücksichtigung aktueller Marktpreise.</w:t>
      </w:r>
    </w:p>
    <w:p>
      <w:pPr>
        <w:pStyle w:val="ListNumber"/>
      </w:pPr>
      <w:r>
        <w:t>Methodische Auseinandersetzung mit Pfaffenberger (Bezugnahme, nicht Polemik).</w:t>
      </w:r>
    </w:p>
    <w:p>
      <w:pPr>
        <w:pStyle w:val="Heading2"/>
      </w:pPr>
      <w:r>
        <w:rPr>
          <w:rFonts w:ascii="Times New Roman" w:hAnsi="Times New Roman"/>
        </w:rPr>
        <w:t>C. Zeitplan und Auftragsmodalitäten</w:t>
      </w:r>
    </w:p>
    <w:p>
      <w:pPr>
        <w:pStyle w:val="ListBullet"/>
      </w:pPr>
      <w:r>
        <w:t>Aufnahme der Daten: zwischen 03.02.2026 und 28.02.2026 (Witterung).</w:t>
      </w:r>
    </w:p>
    <w:p>
      <w:pPr>
        <w:pStyle w:val="ListBullet"/>
      </w:pPr>
      <w:r>
        <w:t>Schriftliche Ausarbeitung: bis 17.03.2026.</w:t>
      </w:r>
    </w:p>
    <w:p>
      <w:pPr>
        <w:pStyle w:val="ListBullet"/>
      </w:pPr>
      <w:r>
        <w:t>Honorar: lt. Kostenkalkulation 11_kostenkalkulation_privatgutachten.csv (vorläufig ca. 11.820 EUR netto plus Reserve 3.500 EUR, brutto ca. 14.066 EUR + Reserve).</w:t>
      </w:r>
    </w:p>
    <w:p>
      <w:pPr>
        <w:pStyle w:val="ListBullet"/>
      </w:pPr>
      <w:r>
        <w:t>Anzahlung: 50 Prozent bei Auftragserteilung.</w:t>
      </w:r>
    </w:p>
    <w:p>
      <w:pPr>
        <w:pStyle w:val="Heading2"/>
      </w:pPr>
      <w:r>
        <w:rPr>
          <w:rFonts w:ascii="Times New Roman" w:hAnsi="Times New Roman"/>
        </w:rPr>
        <w:t>D. Verwendbarkeit als Privatgutachten und Beweismittel</w:t>
      </w:r>
    </w:p>
    <w:p>
      <w:pPr>
        <w:jc w:val="left"/>
      </w:pPr>
      <w:r>
        <w:t>Wichtig zu trennen:</w:t>
      </w:r>
    </w:p>
    <w:p>
      <w:pPr>
        <w:pStyle w:val="ListNumber"/>
      </w:pPr>
      <w:r>
        <w:rPr>
          <w:b/>
        </w:rPr>
        <w:t>Beweisrechtliche Funktion:</w:t>
      </w:r>
      <w:r>
        <w:t xml:space="preserve"> Ein Privatgutachten ist im Zivilprozess (§ 286 ZPO) zwar zugelassen, hat jedoch im Vergleich zum gerichtlich bestellten Sachverständigen lediglich den Charakter substantiierten Parteivortrags (BGH-Linie: z. B. zur Bedeutung des Privatgutachtens). Es kann das gerichtlich bestellte Gutachten nicht "ersetzen", aber wirksam erschüttern.</w:t>
      </w:r>
    </w:p>
    <w:p>
      <w:pPr>
        <w:pStyle w:val="ListNumber"/>
      </w:pPr>
      <w:r>
        <w:rPr>
          <w:b/>
        </w:rPr>
        <w:t>Strategischer Nutzen:</w:t>
      </w:r>
      <w:r>
        <w:t xml:space="preserve"> Das Wallner-II-Gutachten dient</w:t>
      </w:r>
    </w:p>
    <w:p>
      <w:pPr>
        <w:jc w:val="left"/>
      </w:pPr>
      <w:r>
        <w:t>a) zur Erschütterung des Pfaffenberger-Gutachtens (Methodik, Mess-Lage);</w:t>
      </w:r>
    </w:p>
    <w:p>
      <w:pPr>
        <w:jc w:val="left"/>
      </w:pPr>
      <w:r>
        <w:t>b) zur Vorbereitung eines Antrags auf neues Gutachten gemäß § 412 ZPO;</w:t>
      </w:r>
    </w:p>
    <w:p>
      <w:pPr>
        <w:jc w:val="left"/>
      </w:pPr>
      <w:r>
        <w:t>c) zur Untermauerung des Befangenheits- und JVEG-Antrags;</w:t>
      </w:r>
    </w:p>
    <w:p>
      <w:pPr>
        <w:jc w:val="left"/>
      </w:pPr>
      <w:r>
        <w:t>d) zur Vorbereitung der Berufung, falls das LG dem Pfaffenberger folgt.</w:t>
      </w:r>
    </w:p>
    <w:p>
      <w:pPr>
        <w:pStyle w:val="ListNumber"/>
      </w:pPr>
      <w:r>
        <w:rPr>
          <w:b/>
        </w:rPr>
        <w:t>Kostenrisiko Mandant:</w:t>
      </w:r>
      <w:r>
        <w:t xml:space="preserve"> Ohne Erfolg in der Sache trägt Sieglinger die Privatgutachten-Kosten allein. Mit Erfolg in der Sache können die Kosten als notwendige Rechtsverfolgungskosten (§ 91 ZPO) erstattungsfaehig sein — die Erstattungsfähigkeit von Privatgutachten ist jedoch BGH-rechtlich nicht in jedem Fall gegeben; restriktive Linie.</w:t>
      </w:r>
    </w:p>
    <w:p>
      <w:pPr>
        <w:pStyle w:val="Heading2"/>
      </w:pPr>
      <w:r>
        <w:rPr>
          <w:rFonts w:ascii="Times New Roman" w:hAnsi="Times New Roman"/>
        </w:rPr>
        <w:t>E. Konfliktcheck Wallner-Büro</w:t>
      </w:r>
    </w:p>
    <w:p>
      <w:pPr>
        <w:pStyle w:val="ListBullet"/>
      </w:pPr>
      <w:r>
        <w:t>Frau Wallner hat bereits das Wallner-I-Gutachten verfasst (K 4).</w:t>
      </w:r>
    </w:p>
    <w:p>
      <w:pPr>
        <w:pStyle w:val="ListBullet"/>
      </w:pPr>
      <w:r>
        <w:t>Kein finanzielles oder familiäres Verhältnis zu Sieglinger.</w:t>
      </w:r>
    </w:p>
    <w:p>
      <w:pPr>
        <w:pStyle w:val="ListBullet"/>
      </w:pPr>
      <w:r>
        <w:t>Keine geschäftliche Beziehung zu Burgwald oder Pfaffenberger.</w:t>
      </w:r>
    </w:p>
    <w:p>
      <w:pPr>
        <w:pStyle w:val="ListBullet"/>
      </w:pPr>
      <w:r>
        <w:t>Frau Wallner ist in der IHK Oberpfalz vereidigt; der Kontakt zu Pfaffenberger besteht über zwei gemeinsame Fortbildungsveranstaltungen 2023 und 2024, jedoch nicht über konkrete Mandate.</w:t>
      </w:r>
    </w:p>
    <w:p>
      <w:pPr>
        <w:pStyle w:val="Heading2"/>
      </w:pPr>
      <w:r>
        <w:rPr>
          <w:rFonts w:ascii="Times New Roman" w:hAnsi="Times New Roman"/>
        </w:rPr>
        <w:t>F. Hinweise des Senior-Reviewers Sperling</w:t>
      </w:r>
    </w:p>
    <w:p>
      <w:pPr>
        <w:pStyle w:val="ListBullet"/>
      </w:pPr>
      <w:r>
        <w:t>Wallner-II ist methodisch überzeugend, aber kostenintensiv. Vor Auftragserteilung Mandantengespraech über Kostenrisiko führen.</w:t>
      </w:r>
    </w:p>
    <w:p>
      <w:pPr>
        <w:pStyle w:val="ListBullet"/>
      </w:pPr>
      <w:r>
        <w:t>Falls Pfaffenberger nach erfolgreichem Befangenheitsantrag ersetzt wird, kann Wallner-II als Stoffgrundlage für das neue Gerichtsgutachten dienen.</w:t>
      </w:r>
    </w:p>
    <w:p>
      <w:pPr>
        <w:pStyle w:val="ListBullet"/>
      </w:pPr>
      <w:r>
        <w:t>Risiko, dass die Kammer das Wallner-II-Gutachten ablehnt: gering, sofern die Methodik sauber beschrieben ist.</w:t>
      </w:r>
    </w:p>
    <w:p>
      <w:pPr>
        <w:pStyle w:val="Heading2"/>
      </w:pPr>
      <w:r>
        <w:rPr>
          <w:rFonts w:ascii="Times New Roman" w:hAnsi="Times New Roman"/>
        </w:rPr>
        <w:t>G. Bewertung Kanzleiführung Knoblauch</w:t>
      </w:r>
    </w:p>
    <w:p>
      <w:pPr>
        <w:jc w:val="left"/>
      </w:pPr>
      <w:r>
        <w:t>Empfehlung an Mandant Sieglinger:</w:t>
      </w:r>
    </w:p>
    <w:p>
      <w:pPr>
        <w:pStyle w:val="ListBullet"/>
      </w:pPr>
      <w:r>
        <w:t>Wallner-II beauftragen.</w:t>
      </w:r>
    </w:p>
    <w:p>
      <w:pPr>
        <w:pStyle w:val="ListBullet"/>
      </w:pPr>
      <w:r>
        <w:t>Anzahlung 5.910 EUR brutto.</w:t>
      </w:r>
    </w:p>
    <w:p>
      <w:pPr>
        <w:pStyle w:val="ListBullet"/>
      </w:pPr>
      <w:r>
        <w:t>Vor Beauftragung Mandant in einem separaten Aktenvermerk schriftlich über Kostenrisiko aufklären (Sachverhaltsklaerung, Erstattungsrisiko).</w:t>
      </w:r>
    </w:p>
    <w:p>
      <w:pPr>
        <w:pStyle w:val="ListBullet"/>
      </w:pPr>
      <w:r>
        <w:t>Auftrag erteilt nur, wenn Mandant nach Aufklärung schriftlich zustimmt.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