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Mandanten-E-Mail Sieglinger nach Anhörung</w:t>
      </w:r>
    </w:p>
    <w:p>
      <w:pPr>
        <w:jc w:val="left"/>
      </w:pPr>
      <w:r>
        <w:rPr>
          <w:b/>
        </w:rPr>
        <w:t>Von:</w:t>
      </w:r>
      <w:r>
        <w:t xml:space="preserve"> sieglinger@hofgemuese-sieglinger.de</w:t>
      </w:r>
    </w:p>
    <w:p>
      <w:pPr>
        <w:jc w:val="left"/>
      </w:pPr>
      <w:r>
        <w:rPr>
          <w:b/>
        </w:rPr>
        <w:t>An:</w:t>
      </w:r>
      <w:r>
        <w:t xml:space="preserve"> knoblauch@ksk-anwaelte.de</w:t>
      </w:r>
    </w:p>
    <w:p>
      <w:pPr>
        <w:jc w:val="left"/>
      </w:pPr>
      <w:r>
        <w:rPr>
          <w:b/>
        </w:rPr>
        <w:t>Datum:</w:t>
      </w:r>
      <w:r>
        <w:t xml:space="preserve"> 23.01.2026, 22:18 Uhr</w:t>
      </w:r>
    </w:p>
    <w:p>
      <w:pPr>
        <w:jc w:val="left"/>
      </w:pPr>
      <w:r>
        <w:rPr>
          <w:b/>
        </w:rPr>
        <w:t>Betreff:</w:t>
      </w:r>
      <w:r>
        <w:t xml:space="preserve"> Wie geht es weiter nach gestern?</w:t>
      </w:r>
    </w:p>
    <w:p>
      <w:pPr>
        <w:jc w:val="left"/>
      </w:pPr>
      <w:r>
        <w:rPr>
          <w:b/>
        </w:rPr>
        <w:t>Anhang:</w:t>
      </w:r>
      <w:r>
        <w:t xml:space="preserve"> Handynotiz Anhörung (PDF, 4 Seiten)</w:t>
      </w:r>
    </w:p>
    <w:p>
      <w:pPr>
        <w:jc w:val="left"/>
      </w:pPr>
      <w:r>
        <w:t>Sehr geehrte Frau Knoblauch,</w:t>
      </w:r>
    </w:p>
    <w:p>
      <w:pPr>
        <w:jc w:val="left"/>
      </w:pPr>
      <w:r>
        <w:t>ich melde mich nach dem Anhörungstermin gestern noch einmal, weil mich die ganze Sache nicht losgelassen hat. Ich war zwar nicht im Saal — die Kammer hat das ja anders bestimmt — aber Sie haben mich gestern Abend über die Wesentlichkeiten informiert, und mein Sohn (der ist Anwalt für Verkehrsrecht in Muenchen, ich weiss, das ist ein anderes Gebiet) hat dann auch noch lange mit mir telefoniert.</w:t>
      </w:r>
    </w:p>
    <w:p>
      <w:pPr>
        <w:jc w:val="left"/>
      </w:pPr>
      <w:r>
        <w:t>Ich verstehe das jetzt so:</w:t>
      </w:r>
    </w:p>
    <w:p>
      <w:pPr>
        <w:pStyle w:val="ListNumber"/>
      </w:pPr>
      <w:r>
        <w:t>Herr Pfaffenberger hat zugegeben, dass er einen KI-Schreibassistenten benutzt hat. Das ist ja im Grunde genau das, was ich vermutet habe, wenn ich auch nicht den Namen wusste.</w:t>
      </w:r>
    </w:p>
    <w:p>
      <w:pPr>
        <w:pStyle w:val="ListNumber"/>
      </w:pPr>
      <w:r>
        <w:t>Er hat auch zugegeben, dass er die Anlage nie wirklich gemessen hat, die Wechselrichter nicht aufgemacht und die Halter nicht abgenommen hat. Das ist auch das, was ich am Tag des Ortstermins so wahrgenommen habe. Damals dachte ich, das gehört sich vielleicht so, weil ich kein Fachmann bin.</w:t>
      </w:r>
    </w:p>
    <w:p>
      <w:pPr>
        <w:pStyle w:val="ListNumber"/>
      </w:pPr>
      <w:r>
        <w:t>Er hat die VDE-AR-N 4105 falsch zitiert. Das verstehe ich nicht im Detail, aber Sie haben gesagt, das ist eine andere Norm und die richtige wäre die VDE 0126.</w:t>
      </w:r>
    </w:p>
    <w:p>
      <w:pPr>
        <w:jc w:val="left"/>
      </w:pPr>
      <w:r>
        <w:t>Jetzt habe ich ein paar Fragen — und einen Wunsch — bevor wir den nächsten Schritt machen:</w:t>
      </w:r>
    </w:p>
    <w:p>
      <w:pPr>
        <w:pStyle w:val="Heading2"/>
      </w:pPr>
      <w:r>
        <w:rPr>
          <w:rFonts w:ascii="Times New Roman" w:hAnsi="Times New Roman"/>
        </w:rPr>
        <w:t>Fragen</w:t>
      </w:r>
    </w:p>
    <w:p>
      <w:pPr>
        <w:pStyle w:val="ListNumber"/>
      </w:pPr>
      <w:r>
        <w:t>Habe ich richtig verstanden, dass Sie jetzt einen Befangenheitsantrag stellen wollen? Wenn ja: Was passiert, wenn das Gericht den ablehnt? Bin ich dann in einer schlechteren Position als jetzt? Mein Sohn meinte, "Befangenheitsanträge sind heikel, das kann auch nach hinten losgehen".</w:t>
      </w:r>
    </w:p>
    <w:p>
      <w:pPr>
        <w:pStyle w:val="ListNumber"/>
      </w:pPr>
      <w:r>
        <w:t>Sie haben gestern die Sachverstaendigenkollegin Wallner erwähnt, die das Gegen-Gutachten machen könnte. Was kostet mich das? Ich habe inzwischen 6.300 EUR für das erste Wallner-Gutachten bezahlt; meine Frau und ich wissen nicht, wie viel mehr wir investieren können. Wir haben mehrere offene Forderungen aus dem Hofladen, und der Stromschaden des PV-Problems trägt sich auch nicht von selbst.</w:t>
      </w:r>
    </w:p>
    <w:p>
      <w:pPr>
        <w:pStyle w:val="ListNumber"/>
      </w:pPr>
      <w:r>
        <w:t>Wie lange dauert das noch insgesamt? Die Klage habe ich im Juni 2024 erhoben. Jetzt sind wir bei Januar 2026. Mein Vater (er ist 84) hat mir gestern auf der Vespertafel gesagt: "Bub, wenn ihr noch ein Jahr braucht, bin ich nicht mehr da, um es zu erleben." Das ist natürlich emotional gesprochen, aber ich verstehe seinen Frust.</w:t>
      </w:r>
    </w:p>
    <w:p>
      <w:pPr>
        <w:pStyle w:val="ListNumber"/>
      </w:pPr>
      <w:r>
        <w:t>Mein Freund — der ehemalige Stromversorger im Ruhestand, Herr Berghofer — hat mir gesagt: "Ihr habt doch schon den Wechselrichter selber aufgemacht im Winter 2023. Da habt ihr den Defekt photographiert. Warum gehen die Anwälte nicht direkt damit ins Verfahren?" Mir ist nicht klar, ob die damaligen Fotos im Verfahren bereits eingebracht sind. Ich glaube, ich habe sie der Burgwald nach der Mangelanzeige geschickt, aber bei Ihnen weiss ich es nicht. Soll ich die Fotos noch einmal überlegen, was wir alles haben?</w:t>
      </w:r>
    </w:p>
    <w:p>
      <w:pPr>
        <w:pStyle w:val="ListNumber"/>
      </w:pPr>
      <w:r>
        <w:t>Bzgl. der KI-Sache: Ich kenne im Pfarrgemeinderat einen Schreiner, der seit drei Jahren auch Gutachten schreibt (Eigentum, Beweissicherung). Er sagt, im Sachverständigen-Stammtisch werde "die KI" häufig genutzt, "aber niemand redet drüber". Heisst das, dass viele Gutachten genauso sind wie das von Pfaffenberger? Und falls ja: Was ist dann unsere "Erfolgschance"?</w:t>
      </w:r>
    </w:p>
    <w:p>
      <w:pPr>
        <w:pStyle w:val="Heading2"/>
      </w:pPr>
      <w:r>
        <w:rPr>
          <w:rFonts w:ascii="Times New Roman" w:hAnsi="Times New Roman"/>
        </w:rPr>
        <w:t>Wunsch</w:t>
      </w:r>
    </w:p>
    <w:p>
      <w:pPr>
        <w:jc w:val="left"/>
      </w:pPr>
      <w:r>
        <w:t>Ich möchte das gewinnen — nicht aus Stolz, sondern weil ich finde, dass eine Photovoltaikanlage, für die ich 180.000 Euro bezahlt habe, ihre Leistung bringen muss. Mein Stallgebaeude hat heute mehr Feuchtigkeit als vor dem Anlagenbau. Die Heuvorraete habe ich zweimal teuer zugekauft.</w:t>
      </w:r>
    </w:p>
    <w:p>
      <w:pPr>
        <w:jc w:val="left"/>
      </w:pPr>
      <w:r>
        <w:t>Ich möchte aber auch nicht der Mandant sein, der die letzte 100-Euro-Note in einen Befangenheitsantrag steckt, ohne dass jemand mir vorher sagt: "Herr Sieglinger, das wird sehr eng." Wenn Sie meinen, der Befangenheitsantrag bringt nichts, sagen Sie es bitte direkt.</w:t>
      </w:r>
    </w:p>
    <w:p>
      <w:pPr>
        <w:jc w:val="left"/>
      </w:pPr>
      <w:r>
        <w:t>Eine Bitte noch: Mein Vater hat für das Privatgutachten Wallner I einen Verwandtenkredit gegeben (Cousin in Tirol). Die Familie ist also schon einbezogen. Wenn die Sache wirklich noch ein bis zwei Jahre dauert und wir das Wallner-II-Gutachten machen, dann müssen wir nach einer Finanzierungslinie suchen. Ich habe über eine Prozesskosten- oder Rechtsschutzlinie nachgedacht, aber meine Rechtsschutz-Versicherung deckt Werkvertragsfälle eingeschränkt.</w:t>
      </w:r>
    </w:p>
    <w:p>
      <w:pPr>
        <w:jc w:val="left"/>
      </w:pPr>
      <w:r>
        <w:t>Bitte sagen Sie mir bis Dienstag, wie wir weitermachen. Ich habe am Mittwoch einen Termin in Regensburg und würde Sie gerne kurz besuchen, wenn möglich.</w:t>
      </w:r>
    </w:p>
    <w:p>
      <w:pPr>
        <w:jc w:val="left"/>
      </w:pPr>
      <w:r>
        <w:t>Mit freundlichen Gruessen</w:t>
      </w:r>
    </w:p>
    <w:p>
      <w:pPr>
        <w:jc w:val="left"/>
      </w:pPr>
      <w:r>
        <w:t>Hartmut Sieglinger</w:t>
      </w:r>
    </w:p>
    <w:p>
      <w:pPr>
        <w:jc w:val="left"/>
      </w:pPr>
      <w:r>
        <w:t>Sieglinger Hofgemüse GmbH</w:t>
      </w:r>
    </w:p>
    <w:p>
      <w:pPr>
        <w:jc w:val="left"/>
      </w:pPr>
      <w:r>
        <w:t>Sonneberg 14, 93047 Regensburg</w:t>
      </w:r>
    </w:p>
    <w:p>
      <w:pPr>
        <w:jc w:val="left"/>
      </w:pPr>
      <w:r>
        <w:t>Tel. 0941 ...</w:t>
      </w:r>
    </w:p>
    <w:p/>
    <w:p>
      <w:pPr>
        <w:pStyle w:val="Heading2"/>
      </w:pPr>
      <w:r>
        <w:rPr>
          <w:rFonts w:ascii="Times New Roman" w:hAnsi="Times New Roman"/>
        </w:rPr>
        <w:t>Anwaltliche Antwortskizze (in Vorbereitung — RAin Knoblauch, 24.01.2026)</w:t>
      </w:r>
    </w:p>
    <w:p>
      <w:pPr>
        <w:pStyle w:val="Heading3"/>
      </w:pPr>
      <w:r>
        <w:rPr>
          <w:rFonts w:ascii="Times New Roman" w:hAnsi="Times New Roman"/>
        </w:rPr>
        <w:t>Zu den Fragen</w:t>
      </w:r>
    </w:p>
    <w:p>
      <w:pPr>
        <w:pStyle w:val="ListNumber"/>
      </w:pPr>
      <w:r>
        <w:rPr>
          <w:b/>
        </w:rPr>
        <w:t>Befangenheitsrisiko:</w:t>
      </w:r>
      <w:r>
        <w:t xml:space="preserve"> Antrag wird gestellt, basierend auf den Anhoerungs-Aussagen vom 22.01.2026. Bei Ablehnung verschlechtert sich die Lage nicht zwingend; die Anhörung als solche bleibt verwertbar, und der Befangenheitsantrag ist hinreichend begründet. Ggf. JVEG-Anregung und § 412 ZPO weitergehend nutzen.</w:t>
      </w:r>
    </w:p>
    <w:p>
      <w:pPr>
        <w:pStyle w:val="ListNumber"/>
      </w:pPr>
      <w:r>
        <w:rPr>
          <w:b/>
        </w:rPr>
        <w:t>Wallner-II-Kosten:</w:t>
      </w:r>
      <w:r>
        <w:t xml:space="preserve"> ca. 14.000 EUR brutto, mit Reserve ca. 18.000 EUR brutto. Mandant entscheidet nach schriftlicher Aufklärung. Bei Erfolg in der Sache (Werkvertragsanspruch) Erstattung nur teilweise nach BGH-Linie zur Erstattungsfähigkeit von Privatgutachten.</w:t>
      </w:r>
    </w:p>
    <w:p>
      <w:pPr>
        <w:pStyle w:val="ListNumber"/>
      </w:pPr>
      <w:r>
        <w:rPr>
          <w:b/>
        </w:rPr>
        <w:t>Verfahrensdauer:</w:t>
      </w:r>
      <w:r>
        <w:t xml:space="preserve"> realistisch 1. Instanz Sommer 2026 bis Frühjahr 2027; Berufung weitere 12-18 Monate.</w:t>
      </w:r>
    </w:p>
    <w:p>
      <w:pPr>
        <w:pStyle w:val="ListNumber"/>
      </w:pPr>
      <w:r>
        <w:rPr>
          <w:b/>
        </w:rPr>
        <w:t>Eigene Fotos Wechselrichter:</w:t>
      </w:r>
      <w:r>
        <w:t xml:space="preserve"> Anfordern. Foto-Sammelmail vom 19.11.2023 bitte beifügen. Falls Mandant damals einen Wechselrichter selbst geöffnet hat, ist das beweisrechtlich kein Problem (Selbstbeweis als substantiierter Parteivortrag); im Wallner-II-Gutachten dokumentieren.</w:t>
      </w:r>
    </w:p>
    <w:p>
      <w:pPr>
        <w:pStyle w:val="ListNumber"/>
      </w:pPr>
      <w:r>
        <w:rPr>
          <w:b/>
        </w:rPr>
        <w:t>KI-Faktor in der Branche:</w:t>
      </w:r>
      <w:r>
        <w:t xml:space="preserve"> Vorsichtig bleiben. Der Verdacht "alle Gutachter machen das" hilft uns rechtlich nicht. Unser Fall steht auf den konkreten Indizien. Statistische Aussagen über andere Sachverständige sind ohne empirische Basis nicht verwendbar.</w:t>
      </w:r>
    </w:p>
    <w:p>
      <w:pPr>
        <w:pStyle w:val="Heading3"/>
      </w:pPr>
      <w:r>
        <w:rPr>
          <w:rFonts w:ascii="Times New Roman" w:hAnsi="Times New Roman"/>
        </w:rPr>
        <w:t>Strategische Vorschläge</w:t>
      </w:r>
    </w:p>
    <w:p>
      <w:pPr>
        <w:pStyle w:val="ListBullet"/>
      </w:pPr>
      <w:r>
        <w:t>Mandantengespraech 28.01.2026, 14:00 Uhr, Kanzlei.</w:t>
      </w:r>
    </w:p>
    <w:p>
      <w:pPr>
        <w:pStyle w:val="ListBullet"/>
      </w:pPr>
      <w:r>
        <w:t>Schriftliche Belehrung zu Kosten und Risiken vor Wallner-II-Auftragserteilung.</w:t>
      </w:r>
    </w:p>
    <w:p>
      <w:pPr>
        <w:pStyle w:val="ListBullet"/>
      </w:pPr>
      <w:r>
        <w:t>Pruefung Rechtsschutzdeckung Werkvertragsfälle.</w:t>
      </w:r>
    </w:p>
    <w:p>
      <w:pPr>
        <w:pStyle w:val="ListBullet"/>
      </w:pPr>
      <w:r>
        <w:t>Optional: Pruefung Stundung Rechtsanwaltsgebühren / Honorarvereinbarung mit Erfolgsanteil (RVG § 4a) — nach Pruefung, ob die Voraussetzungen erfüllt sind.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