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03 — EncroChat/SkyECC: Bandenstruktur und Verwertbarkeit</w:t>
      </w:r>
    </w:p>
    <w:p>
      <w:pPr>
        <w:jc w:val="left"/>
      </w:pPr>
      <w:r>
        <w:rPr>
          <w:b/>
        </w:rPr>
        <w:t>Verfahren:</w:t>
      </w:r>
      <w:r>
        <w:t xml:space="preserve"> StA Stuttgart 4 Js 18.422/26</w:t>
      </w:r>
    </w:p>
    <w:p>
      <w:pPr>
        <w:jc w:val="left"/>
      </w:pPr>
      <w:r>
        <w:rPr>
          <w:b/>
        </w:rPr>
        <w:t>Bearbeitung:</w:t>
      </w:r>
      <w:r>
        <w:t xml:space="preserve"> Alle Verteidiger (gemeinsame Stellungnahme abgestimmt)</w:t>
      </w:r>
    </w:p>
    <w:p>
      <w:pPr>
        <w:jc w:val="left"/>
      </w:pPr>
      <w:r>
        <w:rPr>
          <w:b/>
        </w:rPr>
        <w:t>Stand:</w:t>
      </w:r>
      <w:r>
        <w:t xml:space="preserve"> 21.01.2026</w:t>
      </w:r>
    </w:p>
    <w:p>
      <w:pPr>
        <w:jc w:val="left"/>
      </w:pPr>
      <w:r>
        <w:rPr>
          <w:b/>
        </w:rPr>
        <w:t>Leitentscheidung:</w:t>
      </w:r>
      <w:r>
        <w:t xml:space="preserve"> BGH 5 StR 457/21 vom 02.03.2022</w:t>
      </w:r>
    </w:p>
    <w:p/>
    <w:p>
      <w:pPr>
        <w:pStyle w:val="Heading2"/>
      </w:pPr>
      <w:r>
        <w:rPr>
          <w:rFonts w:ascii="Times New Roman" w:hAnsi="Times New Roman"/>
        </w:rPr>
        <w:t>1. Sachverhalt EncroChat/SkyECC im vorliegenden Verfahren</w:t>
      </w:r>
    </w:p>
    <w:p>
      <w:pPr>
        <w:jc w:val="left"/>
      </w:pPr>
      <w:r>
        <w:t>Die Staatsanwaltschaft Stuttgart stützt erhebliche Teile der Anklage auf Nachrichten, die durch die französische Operation gegen den EncroChat-Server (April bis Juli 2020) und eine spätere Operation gegen SkyECC (März 2021) gewonnen wurden.</w:t>
      </w:r>
    </w:p>
    <w:p>
      <w:pPr>
        <w:jc w:val="left"/>
      </w:pPr>
      <w:r>
        <w:t>Im vorliegenden Verfahren wurden folgende Erkenntnisse eingebracht:</w:t>
      </w:r>
    </w:p>
    <w:p>
      <w:pPr>
        <w:pStyle w:val="ListBullet"/>
      </w:pPr>
      <w:r>
        <w:rPr>
          <w:b/>
        </w:rPr>
        <w:t>EncroChat-Nutzer "RedKing77":</w:t>
      </w:r>
      <w:r>
        <w:t xml:space="preserve"> Der Staatsanwaltschaft zufolge identisch mit Vasile Iordache; Nachrichten aus Oktober 2024 bis Februar 2025 mit Planungsbezug für Raubaktionen in Suedbaden und Stuttgart</w:t>
      </w:r>
    </w:p>
    <w:p>
      <w:pPr>
        <w:pStyle w:val="ListBullet"/>
      </w:pPr>
      <w:r>
        <w:rPr>
          <w:b/>
        </w:rPr>
        <w:t>SkyECC-Nutzer "MK_Koffer":</w:t>
      </w:r>
      <w:r>
        <w:t xml:space="preserve"> Staatsanwaltschaft: identisch mit Mateusz Korbiel; Nachrichten zu Tatortrekognoszierung Stuttgart, Abstimmung Treffpunkte Drebenstedt</w:t>
      </w:r>
    </w:p>
    <w:p>
      <w:pPr>
        <w:pStyle w:val="ListBullet"/>
      </w:pPr>
      <w:r>
        <w:rPr>
          <w:b/>
        </w:rPr>
        <w:t>SkyECC-Nutzer "LDrive":</w:t>
      </w:r>
      <w:r>
        <w:t xml:space="preserve"> Staatsanwaltschaft: identisch mit Drebenstedt; Nachrichten zu Fahrzeugorganisation, Fluchtrouten</w:t>
      </w:r>
    </w:p>
    <w:p>
      <w:pPr>
        <w:jc w:val="left"/>
      </w:pPr>
      <w:r>
        <w:t xml:space="preserve">Die EncroChat/SkyECC-Daten befinden sich im </w:t>
      </w:r>
      <w:r>
        <w:rPr>
          <w:b/>
        </w:rPr>
        <w:t>Sonderband SB ECC</w:t>
      </w:r>
      <w:r>
        <w:t xml:space="preserve"> (gesperrt, GBA-Vorbehalt bis Freigabe). Akteneinsicht bisher verweigert (vgl. AS 08).</w:t>
      </w:r>
    </w:p>
    <w:p/>
    <w:p>
      <w:pPr>
        <w:pStyle w:val="Heading2"/>
      </w:pPr>
      <w:r>
        <w:rPr>
          <w:rFonts w:ascii="Times New Roman" w:hAnsi="Times New Roman"/>
        </w:rPr>
        <w:t>2. Rechtliche Pruefung Verwertbarkeit — BGH-Linie 5 StR 457/21</w:t>
      </w:r>
    </w:p>
    <w:p>
      <w:pPr>
        <w:pStyle w:val="Heading3"/>
      </w:pPr>
      <w:r>
        <w:rPr>
          <w:rFonts w:ascii="Times New Roman" w:hAnsi="Times New Roman"/>
        </w:rPr>
        <w:t>2.1 Leitentscheidung BGH 5 StR 457/21</w:t>
      </w:r>
    </w:p>
    <w:p>
      <w:pPr>
        <w:jc w:val="left"/>
      </w:pPr>
      <w:r>
        <w:t>Der BGH hat mit Urteil vom 02.03.2022 (BGH 5 StR 457/21, BGHSt 66, 256) grundlegend zur Verwertbarkeit von EncroChat-Daten entschieden:</w:t>
      </w:r>
    </w:p>
    <w:p>
      <w:pPr>
        <w:jc w:val="left"/>
      </w:pPr>
      <w:r>
        <w:rPr>
          <w:b/>
        </w:rPr>
        <w:t>Leitsätze (Zusammenfassung):</w:t>
      </w:r>
    </w:p>
    <w:p>
      <w:pPr>
        <w:pStyle w:val="ListNumber"/>
      </w:pPr>
      <w:r>
        <w:t>Die durch französische Behörden im Wege der europaischen Ermittlungsanordnung (EEA) nach § 91a IRG i.V.m. der EU-Richtlinie 2014/41/EU übermittelten EncroChat-Daten sind grundsätzlich im deutschen Strafverfahren verwertbar.</w:t>
      </w:r>
    </w:p>
    <w:p>
      <w:pPr>
        <w:pStyle w:val="ListNumber"/>
      </w:pPr>
      <w:r>
        <w:t>Eine Überprüfung der Rechtmaessigkeit der zugrundeliegenden französischen Massnahme im deutschen Verfahren findet nicht statt (sog. Anerkennungsprinzip der EEA).</w:t>
      </w:r>
    </w:p>
    <w:p>
      <w:pPr>
        <w:pStyle w:val="ListNumber"/>
      </w:pPr>
      <w:r>
        <w:t>Das Fernmeldegeheimnis (Art. 10 GG) steht der Verwertung nicht entgegen, wenn die Daten rechtmaessig durch den Ursprungsstaat erhoben wurden.</w:t>
      </w:r>
    </w:p>
    <w:p>
      <w:pPr>
        <w:pStyle w:val="ListNumber"/>
      </w:pPr>
      <w:r>
        <w:t>Beweisverbote aus § 100a Abs. 4 StPO (Kernbereich) greifen nur bei tatsächlichem Einblick in hochpersönliche Lebensgestaltung — bei bandenmaessigen Planungsgesprächen regelmassig nicht.</w:t>
      </w:r>
    </w:p>
    <w:p>
      <w:pPr>
        <w:jc w:val="left"/>
      </w:pPr>
      <w:r>
        <w:rPr>
          <w:b/>
        </w:rPr>
        <w:t>Hinweis zur Weiterentwicklung:</w:t>
      </w:r>
    </w:p>
    <w:p>
      <w:pPr>
        <w:jc w:val="left"/>
      </w:pPr>
      <w:r>
        <w:t>Nachfolgeentscheidungen des BGH (u.a. 6 StR 211/22 vom 14.09.2022; 5 StR 536/21; EuGH C-670/22 vom 30.04.2024 — M.N./StA Muenchen I) haben die BGH-Linie im Wesentlichen bestätigt, aber Anforderungen an die Individualisierung der Nutzeridentität präzisiert.</w:t>
      </w:r>
    </w:p>
    <w:p>
      <w:pPr>
        <w:pStyle w:val="Heading3"/>
      </w:pPr>
      <w:r>
        <w:rPr>
          <w:rFonts w:ascii="Times New Roman" w:hAnsi="Times New Roman"/>
        </w:rPr>
        <w:t>2.2 Verteidigungsargumente gegen Verwertung im vorliegenden Fall</w:t>
      </w:r>
    </w:p>
    <w:p>
      <w:pPr>
        <w:pStyle w:val="Heading3"/>
      </w:pPr>
      <w:r>
        <w:rPr>
          <w:rFonts w:ascii="Times New Roman" w:hAnsi="Times New Roman"/>
        </w:rPr>
        <w:t>Argument 1: Fehlende Nutzeridentifizierung</w:t>
      </w:r>
    </w:p>
    <w:p>
      <w:pPr>
        <w:jc w:val="left"/>
      </w:pPr>
      <w:r>
        <w:t>Die Staatsanwaltschaft stützt die Zuordnung der Pseudonyme "RedKing77" (Iordache) und "MK_Koffer" (Korbiel) ausschliesslich auf:</w:t>
      </w:r>
    </w:p>
    <w:p>
      <w:pPr>
        <w:pStyle w:val="ListBullet"/>
      </w:pPr>
      <w:r>
        <w:t>Kontextauswertung der Nachrichteninhalte</w:t>
      </w:r>
    </w:p>
    <w:p>
      <w:pPr>
        <w:pStyle w:val="ListBullet"/>
      </w:pPr>
      <w:r>
        <w:t>Telefonische Rückverfolgung einer Handynummer (nicht verifiziert)</w:t>
      </w:r>
    </w:p>
    <w:p>
      <w:pPr>
        <w:pStyle w:val="ListBullet"/>
      </w:pPr>
      <w:r>
        <w:t>Aussage eines VP (Vertrauensperson, nicht offenbart — § 96 StPO-Sperrentscheidung)</w:t>
      </w:r>
    </w:p>
    <w:p>
      <w:pPr>
        <w:jc w:val="left"/>
      </w:pPr>
      <w:r>
        <w:t>Es fehlt ein technisch gesicherter Beweis der Gerätenummer (IMEI) oder einer Echtheit-Zertifizierung des EncroChat-Servers. Vgl. EuGH C-670/22: Zur Verwertung muss die Individualisierung hinreichend sicher belegt sein.</w:t>
      </w:r>
    </w:p>
    <w:p>
      <w:pPr>
        <w:pStyle w:val="Heading3"/>
      </w:pPr>
      <w:r>
        <w:rPr>
          <w:rFonts w:ascii="Times New Roman" w:hAnsi="Times New Roman"/>
        </w:rPr>
        <w:t>Argument 2: Fehlen der EEA-Vorlage</w:t>
      </w:r>
    </w:p>
    <w:p>
      <w:pPr>
        <w:jc w:val="left"/>
      </w:pPr>
      <w:r>
        <w:t>Die Verteidigung hat die Vorlage der Europäischen Ermittlungsanordnung (EEA) nach § 91a IRG verlangt. Die Staatsanwaltschaft verweigert die Vorlage unter Verweis auf § 96 StPO (GBA-Sperrentscheidung). Dies verletzt das Recht auf effektive Verteidigung (Art. 6 Abs. 3 EMRK; BVerfG 2 BvR 816/22).</w:t>
      </w:r>
    </w:p>
    <w:p>
      <w:pPr>
        <w:pStyle w:val="Heading3"/>
      </w:pPr>
      <w:r>
        <w:rPr>
          <w:rFonts w:ascii="Times New Roman" w:hAnsi="Times New Roman"/>
        </w:rPr>
        <w:t>Argument 3: Temporärer Zugriff vor EEA-Erlass</w:t>
      </w:r>
    </w:p>
    <w:p>
      <w:pPr>
        <w:jc w:val="left"/>
      </w:pPr>
      <w:r>
        <w:t>Ausweislich französischer Strafakten (in parallelen deutschen Verfahren offengelegt) begann das technische Anzapfen des EncroChat-Servers am 01.04.2020 — die EEA wurde erst am 13.04.2020 durch die französische Justiz formell erlassen. Es besteht ein zeitlicher Vorlauf, der die Rechtmaessigkeit der Massnahme in Frage stellt (vgl. LG Berlin 525 KLs 15/21, Beschluss vom 01.09.2021 — abweichend vom BGH).</w:t>
      </w:r>
    </w:p>
    <w:p>
      <w:pPr>
        <w:pStyle w:val="Heading3"/>
      </w:pPr>
      <w:r>
        <w:rPr>
          <w:rFonts w:ascii="Times New Roman" w:hAnsi="Times New Roman"/>
        </w:rPr>
        <w:t>Argument 4: Kein Kernbereich-Schutz geprüft</w:t>
      </w:r>
    </w:p>
    <w:p>
      <w:pPr>
        <w:jc w:val="left"/>
      </w:pPr>
      <w:r>
        <w:t>In den SkyECC-Nachrichten ("LDrive") finden sich nach Aktenlage auch private Nachrichten zwischen Drebenstedt und seiner Lebensgefährtin. Die StA hat keinen Kernbereichs-Screening-Protokoll vorgelegt. Vgl. § 100a Abs. 4 StPO; BGH NJW 2014, 2134 (Kernbereichs-Protokoll erforderlich).</w:t>
      </w:r>
    </w:p>
    <w:p>
      <w:pPr>
        <w:pStyle w:val="Heading3"/>
      </w:pPr>
      <w:r>
        <w:rPr>
          <w:rFonts w:ascii="Times New Roman" w:hAnsi="Times New Roman"/>
        </w:rPr>
        <w:t>2.3 Beweisantrag Unverwertbarkeit</w:t>
      </w:r>
    </w:p>
    <w:p>
      <w:pPr>
        <w:jc w:val="left"/>
      </w:pPr>
      <w:r>
        <w:t>Ein formlicher Beweisantrag auf Unverwertbarkeit der EncroChat/SkyECC-Erkenntnisse wird in der Hauptverhandlung gestellt (Entwurf: docx/beweisantrag_encrochat_unverwertbarkeit.docx, vgl. AS 09).</w:t>
      </w:r>
    </w:p>
    <w:p/>
    <w:p>
      <w:pPr>
        <w:pStyle w:val="Heading2"/>
      </w:pPr>
      <w:r>
        <w:rPr>
          <w:rFonts w:ascii="Times New Roman" w:hAnsi="Times New Roman"/>
        </w:rPr>
        <w:t>3. Bandenstruktur — Rekonstruktion aus EncroChat-Erkenntnissen</w:t>
      </w:r>
    </w:p>
    <w:p>
      <w:pPr>
        <w:jc w:val="left"/>
      </w:pPr>
      <w:r>
        <w:t>Soweit die StA die Erkenntnisse offengelegt hat (Anklageschrift), ergibt sich folgende Bandenstruktur:</w:t>
      </w:r>
    </w:p>
    <w:p>
      <w:pPr>
        <w:jc w:val="left"/>
      </w:pPr>
      <w:r>
        <w:t>```</w:t>
      </w:r>
    </w:p>
    <w:p>
      <w:pPr>
        <w:jc w:val="left"/>
      </w:pPr>
      <w:r>
        <w:t>Iordache ("RedKing77") — Bandenfuehrer</w:t>
      </w:r>
    </w:p>
    <w:tbl>
      <w:tblPr>
        <w:tblStyle w:val="TableGrid"/>
        <w:tblW w:type="auto" w:w="0"/>
        <w:tblLook w:firstColumn="1" w:firstRow="1" w:lastColumn="0" w:lastRow="0" w:noHBand="0" w:noVBand="1" w:val="04A0"/>
      </w:tblPr>
      <w:tblGrid>
        <w:gridCol w:w="9072"/>
      </w:tblGrid>
      <w:tr>
        <w:tc>
          <w:tcPr>
            <w:tcW w:type="dxa" w:w="9072"/>
          </w:tcPr>
          <w:p>
            <w:r>
              <w:rPr>
                <w:rFonts w:ascii="Times New Roman" w:hAnsi="Times New Roman"/>
                <w:b/>
                <w:sz w:val="20"/>
              </w:rPr>
              <w:t>-- Korbiel ("MK_Koffer") — Ausfuehrung vor Ort</w:t>
            </w:r>
          </w:p>
        </w:tc>
      </w:tr>
      <w:tr>
        <w:tc>
          <w:tcPr>
            <w:tcW w:type="dxa" w:w="9072"/>
          </w:tcPr>
          <w:p>
            <w:r>
              <w:rPr>
                <w:rFonts w:ascii="Times New Roman" w:hAnsi="Times New Roman"/>
                <w:sz w:val="20"/>
              </w:rPr>
              <w:t>-- Drebenstedt ("LDrive") — Logistik/Fahrzeuge</w:t>
            </w:r>
          </w:p>
        </w:tc>
      </w:tr>
      <w:tr>
        <w:tc>
          <w:tcPr>
            <w:tcW w:type="dxa" w:w="9072"/>
          </w:tcPr>
          <w:p>
            <w:r>
              <w:rPr>
                <w:rFonts w:ascii="Times New Roman" w:hAnsi="Times New Roman"/>
                <w:sz w:val="20"/>
              </w:rPr>
              <w:t>-- Krasniqi — Aufklaerung/Spaeherin</w:t>
            </w:r>
          </w:p>
        </w:tc>
      </w:tr>
    </w:tbl>
    <w:p>
      <w:pPr>
        <w:jc w:val="left"/>
      </w:pPr>
      <w:r>
        <w:t>Externe Helfer (noch nicht angeklagt):</w:t>
      </w:r>
    </w:p>
    <w:tbl>
      <w:tblPr>
        <w:tblStyle w:val="TableGrid"/>
        <w:tblW w:type="auto" w:w="0"/>
        <w:tblLook w:firstColumn="1" w:firstRow="1" w:lastColumn="0" w:lastRow="0" w:noHBand="0" w:noVBand="1" w:val="04A0"/>
      </w:tblPr>
      <w:tblGrid>
        <w:gridCol w:w="9072"/>
      </w:tblGrid>
      <w:tr>
        <w:tc>
          <w:tcPr>
            <w:tcW w:type="dxa" w:w="9072"/>
          </w:tcPr>
          <w:p>
            <w:r>
              <w:rPr>
                <w:rFonts w:ascii="Times New Roman" w:hAnsi="Times New Roman"/>
                <w:b/>
                <w:sz w:val="20"/>
              </w:rPr>
              <w:t>-- "HawalaKing" (Geldwaesche, Identitaet unbekannt)</w:t>
            </w:r>
          </w:p>
        </w:tc>
      </w:tr>
      <w:tr>
        <w:tc>
          <w:tcPr>
            <w:tcW w:type="dxa" w:w="9072"/>
          </w:tcPr>
          <w:p>
            <w:r>
              <w:rPr>
                <w:rFonts w:ascii="Times New Roman" w:hAnsi="Times New Roman"/>
                <w:sz w:val="20"/>
              </w:rPr>
              <w:t>-- Fahrzeugbeschaffer (Wiesbaden, unbekannt)</w:t>
            </w:r>
          </w:p>
        </w:tc>
      </w:tr>
    </w:tbl>
    <w:p>
      <w:pPr>
        <w:jc w:val="left"/>
      </w:pPr>
      <w:r>
        <w:t>```</w:t>
      </w:r>
    </w:p>
    <w:p>
      <w:pPr>
        <w:jc w:val="left"/>
      </w:pPr>
      <w:r>
        <w:t>Die Verbindung Iordache-Korbiel besteht laut StA seit mindestens Oktober 2024 (erstes EncroChat-Gespräch mit Tatortbezug). Die Bandenabrede i.S.d. § 244a StGB soll aus einer Vereinbarung im September 2024 in Krakau (Polen) resultieren (VP-Information, nicht verifizierbar).</w:t>
      </w:r>
    </w:p>
    <w:p/>
    <w:p>
      <w:pPr>
        <w:pStyle w:val="Heading2"/>
      </w:pPr>
      <w:r>
        <w:rPr>
          <w:rFonts w:ascii="Times New Roman" w:hAnsi="Times New Roman"/>
        </w:rPr>
        <w:t>4. Zusammenfassung und Prognose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Argument</w:t>
            </w:r>
          </w:p>
        </w:tc>
        <w:tc>
          <w:tcPr>
            <w:tcW w:type="dxa" w:w="3024"/>
          </w:tcPr>
          <w:p>
            <w:r>
              <w:rPr>
                <w:rFonts w:ascii="Times New Roman" w:hAnsi="Times New Roman"/>
                <w:b/>
                <w:sz w:val="20"/>
              </w:rPr>
              <w:t>Erfolgsaussicht</w:t>
            </w:r>
          </w:p>
        </w:tc>
        <w:tc>
          <w:tcPr>
            <w:tcW w:type="dxa" w:w="3024"/>
          </w:tcPr>
          <w:p>
            <w:r>
              <w:rPr>
                <w:rFonts w:ascii="Times New Roman" w:hAnsi="Times New Roman"/>
                <w:b/>
                <w:sz w:val="20"/>
              </w:rPr>
              <w:t>Bearbeitungsstufe</w:t>
            </w:r>
          </w:p>
        </w:tc>
      </w:tr>
      <w:tr>
        <w:tc>
          <w:tcPr>
            <w:tcW w:type="dxa" w:w="3024"/>
          </w:tcPr>
          <w:p>
            <w:r>
              <w:rPr>
                <w:rFonts w:ascii="Times New Roman" w:hAnsi="Times New Roman"/>
                <w:sz w:val="20"/>
              </w:rPr>
              <w:t>Fehlende Nutzeridentifizierung</w:t>
            </w:r>
          </w:p>
        </w:tc>
        <w:tc>
          <w:tcPr>
            <w:tcW w:type="dxa" w:w="3024"/>
          </w:tcPr>
          <w:p>
            <w:r>
              <w:rPr>
                <w:rFonts w:ascii="Times New Roman" w:hAnsi="Times New Roman"/>
                <w:sz w:val="20"/>
              </w:rPr>
              <w:t>Mittel — hängt von EEA-Vorlage ab</w:t>
            </w:r>
          </w:p>
        </w:tc>
        <w:tc>
          <w:tcPr>
            <w:tcW w:type="dxa" w:w="3024"/>
          </w:tcPr>
          <w:p>
            <w:r>
              <w:rPr>
                <w:rFonts w:ascii="Times New Roman" w:hAnsi="Times New Roman"/>
                <w:sz w:val="20"/>
              </w:rPr>
              <w:t>Hauptverhandlung</w:t>
            </w:r>
          </w:p>
        </w:tc>
      </w:tr>
      <w:tr>
        <w:tc>
          <w:tcPr>
            <w:tcW w:type="dxa" w:w="3024"/>
          </w:tcPr>
          <w:p>
            <w:r>
              <w:rPr>
                <w:rFonts w:ascii="Times New Roman" w:hAnsi="Times New Roman"/>
                <w:sz w:val="20"/>
              </w:rPr>
              <w:t>Fehlen der EEA</w:t>
            </w:r>
          </w:p>
        </w:tc>
        <w:tc>
          <w:tcPr>
            <w:tcW w:type="dxa" w:w="3024"/>
          </w:tcPr>
          <w:p>
            <w:r>
              <w:rPr>
                <w:rFonts w:ascii="Times New Roman" w:hAnsi="Times New Roman"/>
                <w:sz w:val="20"/>
              </w:rPr>
              <w:t>Hoch bei weiter Verweigerung</w:t>
            </w:r>
          </w:p>
        </w:tc>
        <w:tc>
          <w:tcPr>
            <w:tcW w:type="dxa" w:w="3024"/>
          </w:tcPr>
          <w:p>
            <w:r>
              <w:rPr>
                <w:rFonts w:ascii="Times New Roman" w:hAnsi="Times New Roman"/>
                <w:sz w:val="20"/>
              </w:rPr>
              <w:t>Beschwerde nach § 304 StPO</w:t>
            </w:r>
          </w:p>
        </w:tc>
      </w:tr>
      <w:tr>
        <w:tc>
          <w:tcPr>
            <w:tcW w:type="dxa" w:w="3024"/>
          </w:tcPr>
          <w:p>
            <w:r>
              <w:rPr>
                <w:rFonts w:ascii="Times New Roman" w:hAnsi="Times New Roman"/>
                <w:sz w:val="20"/>
              </w:rPr>
              <w:t>Zeitlicher Vorlauf Erlass EEA</w:t>
            </w:r>
          </w:p>
        </w:tc>
        <w:tc>
          <w:tcPr>
            <w:tcW w:type="dxa" w:w="3024"/>
          </w:tcPr>
          <w:p>
            <w:r>
              <w:rPr>
                <w:rFonts w:ascii="Times New Roman" w:hAnsi="Times New Roman"/>
                <w:sz w:val="20"/>
              </w:rPr>
              <w:t>Niedrig nach BGH 5 StR 457/21</w:t>
            </w:r>
          </w:p>
        </w:tc>
        <w:tc>
          <w:tcPr>
            <w:tcW w:type="dxa" w:w="3024"/>
          </w:tcPr>
          <w:p>
            <w:r>
              <w:rPr>
                <w:rFonts w:ascii="Times New Roman" w:hAnsi="Times New Roman"/>
                <w:sz w:val="20"/>
              </w:rPr>
              <w:t>Hilfsantrag</w:t>
            </w:r>
          </w:p>
        </w:tc>
      </w:tr>
      <w:tr>
        <w:tc>
          <w:tcPr>
            <w:tcW w:type="dxa" w:w="3024"/>
          </w:tcPr>
          <w:p>
            <w:r>
              <w:rPr>
                <w:rFonts w:ascii="Times New Roman" w:hAnsi="Times New Roman"/>
                <w:sz w:val="20"/>
              </w:rPr>
              <w:t>Kernbereichs-Protokoll</w:t>
            </w:r>
          </w:p>
        </w:tc>
        <w:tc>
          <w:tcPr>
            <w:tcW w:type="dxa" w:w="3024"/>
          </w:tcPr>
          <w:p>
            <w:r>
              <w:rPr>
                <w:rFonts w:ascii="Times New Roman" w:hAnsi="Times New Roman"/>
                <w:sz w:val="20"/>
              </w:rPr>
              <w:t>Mittel für Drebenstedt</w:t>
            </w:r>
          </w:p>
        </w:tc>
        <w:tc>
          <w:tcPr>
            <w:tcW w:type="dxa" w:w="3024"/>
          </w:tcPr>
          <w:p>
            <w:r>
              <w:rPr>
                <w:rFonts w:ascii="Times New Roman" w:hAnsi="Times New Roman"/>
                <w:sz w:val="20"/>
              </w:rPr>
              <w:t>Hauptverhandlung</w:t>
            </w:r>
          </w:p>
        </w:tc>
      </w:tr>
    </w:tbl>
    <w:p>
      <w:pPr>
        <w:jc w:val="left"/>
      </w:pPr>
      <w:r>
        <w:rPr>
          <w:b/>
        </w:rPr>
        <w:t>Fazit:</w:t>
      </w:r>
      <w:r>
        <w:t xml:space="preserve"> Die BGH-Linie 5 StR 457/21 erschwert die Verteidigung erheblich. Der vielversprechendste Ansatz ist die Individualisierungsfrage: Kann die StA beweisen, dass "MK_Koffer" tatsächlich Korbiels Gerät war? Ohne IMEI-Nachweis oder Geräte-Beschlagnahme bleibt dies Indizienbeweis.</w:t>
      </w:r>
    </w:p>
    <w:p>
      <w:pPr>
        <w:jc w:val="left"/>
      </w:pPr>
      <w:r>
        <w:rPr>
          <w:b/>
        </w:rPr>
        <w:t>Quellen:</w:t>
      </w:r>
      <w:r>
        <w:t xml:space="preserve"> BGH 5 StR 457/21 (bundesgerichtshof.de, Entscheidung vom 02.03.2022); EuGH C-670/22 (curia.europa.eu); § 91a IRG (dejure.org); § 100a StPO (dejure.org); EU-RL 2014/41/EU.</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