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04 — TKUe-Protokolle: Telekommunikationsüberwachung, Auswertung in Mengen</w:t>
      </w:r>
    </w:p>
    <w:p>
      <w:pPr>
        <w:jc w:val="left"/>
      </w:pPr>
      <w:r>
        <w:rPr>
          <w:b/>
        </w:rPr>
        <w:t>Verfahren:</w:t>
      </w:r>
      <w:r>
        <w:t xml:space="preserve"> StA Stuttgart 4 Js 18.422/26</w:t>
      </w:r>
    </w:p>
    <w:p>
      <w:pPr>
        <w:jc w:val="left"/>
      </w:pPr>
      <w:r>
        <w:rPr>
          <w:b/>
        </w:rPr>
        <w:t>Bearbeitung:</w:t>
      </w:r>
      <w:r>
        <w:t xml:space="preserve"> Alle Verteidiger (koordiniert)</w:t>
      </w:r>
    </w:p>
    <w:p>
      <w:pPr>
        <w:jc w:val="left"/>
      </w:pPr>
      <w:r>
        <w:rPr>
          <w:b/>
        </w:rPr>
        <w:t>Sonderband:</w:t>
      </w:r>
      <w:r>
        <w:t xml:space="preserve"> SB TKUe (Bde. I–IV, gesamt 1.247 Seiten)</w:t>
      </w:r>
    </w:p>
    <w:p>
      <w:pPr>
        <w:jc w:val="left"/>
      </w:pPr>
      <w:r>
        <w:rPr>
          <w:b/>
        </w:rPr>
        <w:t>Stand:</w:t>
      </w:r>
      <w:r>
        <w:t xml:space="preserve"> 22.01.2026</w:t>
      </w:r>
    </w:p>
    <w:p/>
    <w:p>
      <w:pPr>
        <w:pStyle w:val="Heading2"/>
      </w:pPr>
      <w:r>
        <w:rPr>
          <w:rFonts w:ascii="Times New Roman" w:hAnsi="Times New Roman"/>
        </w:rPr>
        <w:t>1. TKUe-Anordnungen — Rechtliche Grundlagen</w:t>
      </w:r>
    </w:p>
    <w:p>
      <w:pPr>
        <w:pStyle w:val="Heading3"/>
      </w:pPr>
      <w:r>
        <w:rPr>
          <w:rFonts w:ascii="Times New Roman" w:hAnsi="Times New Roman"/>
        </w:rPr>
        <w:t>1.1 Beschlüsse des Ermittlungsrichters</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Times New Roman" w:hAnsi="Times New Roman"/>
                <w:b/>
                <w:sz w:val="20"/>
              </w:rPr>
              <w:t>Beschluss-Nr.</w:t>
            </w:r>
          </w:p>
        </w:tc>
        <w:tc>
          <w:tcPr>
            <w:tcW w:type="dxa" w:w="1512"/>
          </w:tcPr>
          <w:p>
            <w:r>
              <w:rPr>
                <w:rFonts w:ascii="Times New Roman" w:hAnsi="Times New Roman"/>
                <w:b/>
                <w:sz w:val="20"/>
              </w:rPr>
              <w:t>Datum</w:t>
            </w:r>
          </w:p>
        </w:tc>
        <w:tc>
          <w:tcPr>
            <w:tcW w:type="dxa" w:w="1512"/>
          </w:tcPr>
          <w:p>
            <w:r>
              <w:rPr>
                <w:rFonts w:ascii="Times New Roman" w:hAnsi="Times New Roman"/>
                <w:b/>
                <w:sz w:val="20"/>
              </w:rPr>
              <w:t>Erlassende Richter</w:t>
            </w:r>
          </w:p>
        </w:tc>
        <w:tc>
          <w:tcPr>
            <w:tcW w:type="dxa" w:w="1512"/>
          </w:tcPr>
          <w:p>
            <w:r>
              <w:rPr>
                <w:rFonts w:ascii="Times New Roman" w:hAnsi="Times New Roman"/>
                <w:b/>
                <w:sz w:val="20"/>
              </w:rPr>
              <w:t>Zielanschluss</w:t>
            </w:r>
          </w:p>
        </w:tc>
        <w:tc>
          <w:tcPr>
            <w:tcW w:type="dxa" w:w="1512"/>
          </w:tcPr>
          <w:p>
            <w:r>
              <w:rPr>
                <w:rFonts w:ascii="Times New Roman" w:hAnsi="Times New Roman"/>
                <w:b/>
                <w:sz w:val="20"/>
              </w:rPr>
              <w:t>Laufzeit</w:t>
            </w:r>
          </w:p>
        </w:tc>
        <w:tc>
          <w:tcPr>
            <w:tcW w:type="dxa" w:w="1512"/>
          </w:tcPr>
          <w:p>
            <w:r>
              <w:rPr>
                <w:rFonts w:ascii="Times New Roman" w:hAnsi="Times New Roman"/>
                <w:b/>
                <w:sz w:val="20"/>
              </w:rPr>
              <w:t>Rechtsgrundlage</w:t>
            </w:r>
          </w:p>
        </w:tc>
      </w:tr>
      <w:tr>
        <w:tc>
          <w:tcPr>
            <w:tcW w:type="dxa" w:w="1512"/>
          </w:tcPr>
          <w:p>
            <w:r>
              <w:rPr>
                <w:rFonts w:ascii="Times New Roman" w:hAnsi="Times New Roman"/>
                <w:sz w:val="20"/>
              </w:rPr>
              <w:t>TKUe 2025-018/AG</w:t>
            </w:r>
          </w:p>
        </w:tc>
        <w:tc>
          <w:tcPr>
            <w:tcW w:type="dxa" w:w="1512"/>
          </w:tcPr>
          <w:p>
            <w:r>
              <w:rPr>
                <w:rFonts w:ascii="Times New Roman" w:hAnsi="Times New Roman"/>
                <w:sz w:val="20"/>
              </w:rPr>
              <w:t>19.10.2025</w:t>
            </w:r>
          </w:p>
        </w:tc>
        <w:tc>
          <w:tcPr>
            <w:tcW w:type="dxa" w:w="1512"/>
          </w:tcPr>
          <w:p>
            <w:r>
              <w:rPr>
                <w:rFonts w:ascii="Times New Roman" w:hAnsi="Times New Roman"/>
                <w:sz w:val="20"/>
              </w:rPr>
              <w:t>AG Stuttgart, ER Meschede</w:t>
            </w:r>
          </w:p>
        </w:tc>
        <w:tc>
          <w:tcPr>
            <w:tcW w:type="dxa" w:w="1512"/>
          </w:tcPr>
          <w:p>
            <w:r>
              <w:rPr>
                <w:rFonts w:ascii="Times New Roman" w:hAnsi="Times New Roman"/>
                <w:sz w:val="20"/>
              </w:rPr>
              <w:t>+48 601 XXX (Korbiel PL-SIM)</w:t>
            </w:r>
          </w:p>
        </w:tc>
        <w:tc>
          <w:tcPr>
            <w:tcW w:type="dxa" w:w="1512"/>
          </w:tcPr>
          <w:p>
            <w:r>
              <w:rPr>
                <w:rFonts w:ascii="Times New Roman" w:hAnsi="Times New Roman"/>
                <w:sz w:val="20"/>
              </w:rPr>
              <w:t>19.10. bis 18.11.2025</w:t>
            </w:r>
          </w:p>
        </w:tc>
        <w:tc>
          <w:tcPr>
            <w:tcW w:type="dxa" w:w="1512"/>
          </w:tcPr>
          <w:p>
            <w:r>
              <w:rPr>
                <w:rFonts w:ascii="Times New Roman" w:hAnsi="Times New Roman"/>
                <w:sz w:val="20"/>
              </w:rPr>
              <w:t>§ 100a Abs. 1 Nr. 1 StPO</w:t>
            </w:r>
          </w:p>
        </w:tc>
      </w:tr>
      <w:tr>
        <w:tc>
          <w:tcPr>
            <w:tcW w:type="dxa" w:w="1512"/>
          </w:tcPr>
          <w:p>
            <w:r>
              <w:rPr>
                <w:rFonts w:ascii="Times New Roman" w:hAnsi="Times New Roman"/>
                <w:sz w:val="20"/>
              </w:rPr>
              <w:t>TKUe 2025-019/AG</w:t>
            </w:r>
          </w:p>
        </w:tc>
        <w:tc>
          <w:tcPr>
            <w:tcW w:type="dxa" w:w="1512"/>
          </w:tcPr>
          <w:p>
            <w:r>
              <w:rPr>
                <w:rFonts w:ascii="Times New Roman" w:hAnsi="Times New Roman"/>
                <w:sz w:val="20"/>
              </w:rPr>
              <w:t>19.10.2025</w:t>
            </w:r>
          </w:p>
        </w:tc>
        <w:tc>
          <w:tcPr>
            <w:tcW w:type="dxa" w:w="1512"/>
          </w:tcPr>
          <w:p>
            <w:r>
              <w:rPr>
                <w:rFonts w:ascii="Times New Roman" w:hAnsi="Times New Roman"/>
                <w:sz w:val="20"/>
              </w:rPr>
              <w:t>AG Stuttgart, ER Meschede</w:t>
            </w:r>
          </w:p>
        </w:tc>
        <w:tc>
          <w:tcPr>
            <w:tcW w:type="dxa" w:w="1512"/>
          </w:tcPr>
          <w:p>
            <w:r>
              <w:rPr>
                <w:rFonts w:ascii="Times New Roman" w:hAnsi="Times New Roman"/>
                <w:sz w:val="20"/>
              </w:rPr>
              <w:t>+49 176 XXX (Drebenstedt)</w:t>
            </w:r>
          </w:p>
        </w:tc>
        <w:tc>
          <w:tcPr>
            <w:tcW w:type="dxa" w:w="1512"/>
          </w:tcPr>
          <w:p>
            <w:r>
              <w:rPr>
                <w:rFonts w:ascii="Times New Roman" w:hAnsi="Times New Roman"/>
                <w:sz w:val="20"/>
              </w:rPr>
              <w:t>19.10. bis 18.11.2025</w:t>
            </w:r>
          </w:p>
        </w:tc>
        <w:tc>
          <w:tcPr>
            <w:tcW w:type="dxa" w:w="1512"/>
          </w:tcPr>
          <w:p>
            <w:r>
              <w:rPr>
                <w:rFonts w:ascii="Times New Roman" w:hAnsi="Times New Roman"/>
                <w:sz w:val="20"/>
              </w:rPr>
              <w:t>§ 100a Abs. 1 Nr. 1 StPO</w:t>
            </w:r>
          </w:p>
        </w:tc>
      </w:tr>
      <w:tr>
        <w:tc>
          <w:tcPr>
            <w:tcW w:type="dxa" w:w="1512"/>
          </w:tcPr>
          <w:p>
            <w:r>
              <w:rPr>
                <w:rFonts w:ascii="Times New Roman" w:hAnsi="Times New Roman"/>
                <w:sz w:val="20"/>
              </w:rPr>
              <w:t>TKUe 2025-021/AG</w:t>
            </w:r>
          </w:p>
        </w:tc>
        <w:tc>
          <w:tcPr>
            <w:tcW w:type="dxa" w:w="1512"/>
          </w:tcPr>
          <w:p>
            <w:r>
              <w:rPr>
                <w:rFonts w:ascii="Times New Roman" w:hAnsi="Times New Roman"/>
                <w:sz w:val="20"/>
              </w:rPr>
              <w:t>22.10.2025</w:t>
            </w:r>
          </w:p>
        </w:tc>
        <w:tc>
          <w:tcPr>
            <w:tcW w:type="dxa" w:w="1512"/>
          </w:tcPr>
          <w:p>
            <w:r>
              <w:rPr>
                <w:rFonts w:ascii="Times New Roman" w:hAnsi="Times New Roman"/>
                <w:sz w:val="20"/>
              </w:rPr>
              <w:t>AG Stuttgart, ER Meschede</w:t>
            </w:r>
          </w:p>
        </w:tc>
        <w:tc>
          <w:tcPr>
            <w:tcW w:type="dxa" w:w="1512"/>
          </w:tcPr>
          <w:p>
            <w:r>
              <w:rPr>
                <w:rFonts w:ascii="Times New Roman" w:hAnsi="Times New Roman"/>
                <w:sz w:val="20"/>
              </w:rPr>
              <w:t>+383 44 XXX (Krasniqi)</w:t>
            </w:r>
          </w:p>
        </w:tc>
        <w:tc>
          <w:tcPr>
            <w:tcW w:type="dxa" w:w="1512"/>
          </w:tcPr>
          <w:p>
            <w:r>
              <w:rPr>
                <w:rFonts w:ascii="Times New Roman" w:hAnsi="Times New Roman"/>
                <w:sz w:val="20"/>
              </w:rPr>
              <w:t>22.10. bis 21.11.2025</w:t>
            </w:r>
          </w:p>
        </w:tc>
        <w:tc>
          <w:tcPr>
            <w:tcW w:type="dxa" w:w="1512"/>
          </w:tcPr>
          <w:p>
            <w:r>
              <w:rPr>
                <w:rFonts w:ascii="Times New Roman" w:hAnsi="Times New Roman"/>
                <w:sz w:val="20"/>
              </w:rPr>
              <w:t>§ 100a Abs. 1 Nr. 1 StPO</w:t>
            </w:r>
          </w:p>
        </w:tc>
      </w:tr>
      <w:tr>
        <w:tc>
          <w:tcPr>
            <w:tcW w:type="dxa" w:w="1512"/>
          </w:tcPr>
          <w:p>
            <w:r>
              <w:rPr>
                <w:rFonts w:ascii="Times New Roman" w:hAnsi="Times New Roman"/>
                <w:sz w:val="20"/>
              </w:rPr>
              <w:t>TKUe 2025-031/AG</w:t>
            </w:r>
          </w:p>
        </w:tc>
        <w:tc>
          <w:tcPr>
            <w:tcW w:type="dxa" w:w="1512"/>
          </w:tcPr>
          <w:p>
            <w:r>
              <w:rPr>
                <w:rFonts w:ascii="Times New Roman" w:hAnsi="Times New Roman"/>
                <w:sz w:val="20"/>
              </w:rPr>
              <w:t>03.11.2025</w:t>
            </w:r>
          </w:p>
        </w:tc>
        <w:tc>
          <w:tcPr>
            <w:tcW w:type="dxa" w:w="1512"/>
          </w:tcPr>
          <w:p>
            <w:r>
              <w:rPr>
                <w:rFonts w:ascii="Times New Roman" w:hAnsi="Times New Roman"/>
                <w:sz w:val="20"/>
              </w:rPr>
              <w:t>AG Stuttgart, ER Bueschgen</w:t>
            </w:r>
          </w:p>
        </w:tc>
        <w:tc>
          <w:tcPr>
            <w:tcW w:type="dxa" w:w="1512"/>
          </w:tcPr>
          <w:p>
            <w:r>
              <w:rPr>
                <w:rFonts w:ascii="Times New Roman" w:hAnsi="Times New Roman"/>
                <w:sz w:val="20"/>
              </w:rPr>
              <w:t>+49 176 XXX Folge-SIM (Drebenstedt)</w:t>
            </w:r>
          </w:p>
        </w:tc>
        <w:tc>
          <w:tcPr>
            <w:tcW w:type="dxa" w:w="1512"/>
          </w:tcPr>
          <w:p>
            <w:r>
              <w:rPr>
                <w:rFonts w:ascii="Times New Roman" w:hAnsi="Times New Roman"/>
                <w:sz w:val="20"/>
              </w:rPr>
              <w:t>03.11. bis 02.12.2025</w:t>
            </w:r>
          </w:p>
        </w:tc>
        <w:tc>
          <w:tcPr>
            <w:tcW w:type="dxa" w:w="1512"/>
          </w:tcPr>
          <w:p>
            <w:r>
              <w:rPr>
                <w:rFonts w:ascii="Times New Roman" w:hAnsi="Times New Roman"/>
                <w:sz w:val="20"/>
              </w:rPr>
              <w:t>§ 100a Abs. 1 Nr. 1, § 100b StPO</w:t>
            </w:r>
          </w:p>
        </w:tc>
      </w:tr>
      <w:tr>
        <w:tc>
          <w:tcPr>
            <w:tcW w:type="dxa" w:w="1512"/>
          </w:tcPr>
          <w:p>
            <w:r>
              <w:rPr>
                <w:rFonts w:ascii="Times New Roman" w:hAnsi="Times New Roman"/>
                <w:sz w:val="20"/>
              </w:rPr>
              <w:t>TKUe 2025-045/AG</w:t>
            </w:r>
          </w:p>
        </w:tc>
        <w:tc>
          <w:tcPr>
            <w:tcW w:type="dxa" w:w="1512"/>
          </w:tcPr>
          <w:p>
            <w:r>
              <w:rPr>
                <w:rFonts w:ascii="Times New Roman" w:hAnsi="Times New Roman"/>
                <w:sz w:val="20"/>
              </w:rPr>
              <w:t>12.11.2025</w:t>
            </w:r>
          </w:p>
        </w:tc>
        <w:tc>
          <w:tcPr>
            <w:tcW w:type="dxa" w:w="1512"/>
          </w:tcPr>
          <w:p>
            <w:r>
              <w:rPr>
                <w:rFonts w:ascii="Times New Roman" w:hAnsi="Times New Roman"/>
                <w:sz w:val="20"/>
              </w:rPr>
              <w:t>AG Stuttgart, ER Bueschgen</w:t>
            </w:r>
          </w:p>
        </w:tc>
        <w:tc>
          <w:tcPr>
            <w:tcW w:type="dxa" w:w="1512"/>
          </w:tcPr>
          <w:p>
            <w:r>
              <w:rPr>
                <w:rFonts w:ascii="Times New Roman" w:hAnsi="Times New Roman"/>
                <w:sz w:val="20"/>
              </w:rPr>
              <w:t>Iordache-Anschluss (RO-SIM, nur Roaming)</w:t>
            </w:r>
          </w:p>
        </w:tc>
        <w:tc>
          <w:tcPr>
            <w:tcW w:type="dxa" w:w="1512"/>
          </w:tcPr>
          <w:p>
            <w:r>
              <w:rPr>
                <w:rFonts w:ascii="Times New Roman" w:hAnsi="Times New Roman"/>
                <w:sz w:val="20"/>
              </w:rPr>
              <w:t>12.11. bis 11.12.2025</w:t>
            </w:r>
          </w:p>
        </w:tc>
        <w:tc>
          <w:tcPr>
            <w:tcW w:type="dxa" w:w="1512"/>
          </w:tcPr>
          <w:p>
            <w:r>
              <w:rPr>
                <w:rFonts w:ascii="Times New Roman" w:hAnsi="Times New Roman"/>
                <w:sz w:val="20"/>
              </w:rPr>
              <w:t>§ 100a Abs. 1 Nr. 1 StPO</w:t>
            </w:r>
          </w:p>
        </w:tc>
      </w:tr>
    </w:tbl>
    <w:p>
      <w:pPr>
        <w:jc w:val="left"/>
      </w:pPr>
      <w:r>
        <w:rPr>
          <w:b/>
        </w:rPr>
        <w:t>Verlängerungen:</w:t>
      </w:r>
      <w:r>
        <w:t xml:space="preserve"> Die Beschlüsse TKUe 2025-018 und TKUe 2025-019 wurden je zweimal verlängert (§ 100b Abs. 4 StPO, richterliche Bestätigung erforderlich). Letzte Beendigung: 18.01.2026 (Einstellung nach Anklageschrift).</w:t>
      </w:r>
    </w:p>
    <w:p>
      <w:pPr>
        <w:pStyle w:val="Heading3"/>
      </w:pPr>
      <w:r>
        <w:rPr>
          <w:rFonts w:ascii="Times New Roman" w:hAnsi="Times New Roman"/>
        </w:rPr>
        <w:t>1.2 Umfang der TKUe-Protokolle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Anschluss</w:t>
            </w:r>
          </w:p>
        </w:tc>
        <w:tc>
          <w:tcPr>
            <w:tcW w:type="dxa" w:w="2268"/>
          </w:tcPr>
          <w:p>
            <w:r>
              <w:rPr>
                <w:rFonts w:ascii="Times New Roman" w:hAnsi="Times New Roman"/>
                <w:b/>
                <w:sz w:val="20"/>
              </w:rPr>
              <w:t>Gespräche abgefangen</w:t>
            </w:r>
          </w:p>
        </w:tc>
        <w:tc>
          <w:tcPr>
            <w:tcW w:type="dxa" w:w="2268"/>
          </w:tcPr>
          <w:p>
            <w:r>
              <w:rPr>
                <w:rFonts w:ascii="Times New Roman" w:hAnsi="Times New Roman"/>
                <w:b/>
                <w:sz w:val="20"/>
              </w:rPr>
              <w:t>Relevante Gespräche</w:t>
            </w:r>
          </w:p>
        </w:tc>
        <w:tc>
          <w:tcPr>
            <w:tcW w:type="dxa" w:w="2268"/>
          </w:tcPr>
          <w:p>
            <w:r>
              <w:rPr>
                <w:rFonts w:ascii="Times New Roman" w:hAnsi="Times New Roman"/>
                <w:b/>
                <w:sz w:val="20"/>
              </w:rPr>
              <w:t>Seiten SB TKUe</w:t>
            </w:r>
          </w:p>
        </w:tc>
      </w:tr>
      <w:tr>
        <w:tc>
          <w:tcPr>
            <w:tcW w:type="dxa" w:w="2268"/>
          </w:tcPr>
          <w:p>
            <w:r>
              <w:rPr>
                <w:rFonts w:ascii="Times New Roman" w:hAnsi="Times New Roman"/>
                <w:sz w:val="20"/>
              </w:rPr>
              <w:t>Korbiel PL-SIM</w:t>
            </w:r>
          </w:p>
        </w:tc>
        <w:tc>
          <w:tcPr>
            <w:tcW w:type="dxa" w:w="2268"/>
          </w:tcPr>
          <w:p>
            <w:r>
              <w:rPr>
                <w:rFonts w:ascii="Times New Roman" w:hAnsi="Times New Roman"/>
                <w:sz w:val="20"/>
              </w:rPr>
              <w:t>847</w:t>
            </w:r>
          </w:p>
        </w:tc>
        <w:tc>
          <w:tcPr>
            <w:tcW w:type="dxa" w:w="2268"/>
          </w:tcPr>
          <w:p>
            <w:r>
              <w:rPr>
                <w:rFonts w:ascii="Times New Roman" w:hAnsi="Times New Roman"/>
                <w:sz w:val="20"/>
              </w:rPr>
              <w:t>38 (StA-Klassifikation: belastend)</w:t>
            </w:r>
          </w:p>
        </w:tc>
        <w:tc>
          <w:tcPr>
            <w:tcW w:type="dxa" w:w="2268"/>
          </w:tcPr>
          <w:p>
            <w:r>
              <w:rPr>
                <w:rFonts w:ascii="Times New Roman" w:hAnsi="Times New Roman"/>
                <w:sz w:val="20"/>
              </w:rPr>
              <w:t>Bd. I S. 1–312</w:t>
            </w:r>
          </w:p>
        </w:tc>
      </w:tr>
      <w:tr>
        <w:tc>
          <w:tcPr>
            <w:tcW w:type="dxa" w:w="2268"/>
          </w:tcPr>
          <w:p>
            <w:r>
              <w:rPr>
                <w:rFonts w:ascii="Times New Roman" w:hAnsi="Times New Roman"/>
                <w:sz w:val="20"/>
              </w:rPr>
              <w:t>Drebenstedt</w:t>
            </w:r>
          </w:p>
        </w:tc>
        <w:tc>
          <w:tcPr>
            <w:tcW w:type="dxa" w:w="2268"/>
          </w:tcPr>
          <w:p>
            <w:r>
              <w:rPr>
                <w:rFonts w:ascii="Times New Roman" w:hAnsi="Times New Roman"/>
                <w:sz w:val="20"/>
              </w:rPr>
              <w:t>1.243</w:t>
            </w:r>
          </w:p>
        </w:tc>
        <w:tc>
          <w:tcPr>
            <w:tcW w:type="dxa" w:w="2268"/>
          </w:tcPr>
          <w:p>
            <w:r>
              <w:rPr>
                <w:rFonts w:ascii="Times New Roman" w:hAnsi="Times New Roman"/>
                <w:sz w:val="20"/>
              </w:rPr>
              <w:t>57</w:t>
            </w:r>
          </w:p>
        </w:tc>
        <w:tc>
          <w:tcPr>
            <w:tcW w:type="dxa" w:w="2268"/>
          </w:tcPr>
          <w:p>
            <w:r>
              <w:rPr>
                <w:rFonts w:ascii="Times New Roman" w:hAnsi="Times New Roman"/>
                <w:sz w:val="20"/>
              </w:rPr>
              <w:t>Bd. II S. 1–398</w:t>
            </w:r>
          </w:p>
        </w:tc>
      </w:tr>
      <w:tr>
        <w:tc>
          <w:tcPr>
            <w:tcW w:type="dxa" w:w="2268"/>
          </w:tcPr>
          <w:p>
            <w:r>
              <w:rPr>
                <w:rFonts w:ascii="Times New Roman" w:hAnsi="Times New Roman"/>
                <w:sz w:val="20"/>
              </w:rPr>
              <w:t>Krasniqi</w:t>
            </w:r>
          </w:p>
        </w:tc>
        <w:tc>
          <w:tcPr>
            <w:tcW w:type="dxa" w:w="2268"/>
          </w:tcPr>
          <w:p>
            <w:r>
              <w:rPr>
                <w:rFonts w:ascii="Times New Roman" w:hAnsi="Times New Roman"/>
                <w:sz w:val="20"/>
              </w:rPr>
              <w:t>634</w:t>
            </w:r>
          </w:p>
        </w:tc>
        <w:tc>
          <w:tcPr>
            <w:tcW w:type="dxa" w:w="2268"/>
          </w:tcPr>
          <w:p>
            <w:r>
              <w:rPr>
                <w:rFonts w:ascii="Times New Roman" w:hAnsi="Times New Roman"/>
                <w:sz w:val="20"/>
              </w:rPr>
              <w:t>29</w:t>
            </w:r>
          </w:p>
        </w:tc>
        <w:tc>
          <w:tcPr>
            <w:tcW w:type="dxa" w:w="2268"/>
          </w:tcPr>
          <w:p>
            <w:r>
              <w:rPr>
                <w:rFonts w:ascii="Times New Roman" w:hAnsi="Times New Roman"/>
                <w:sz w:val="20"/>
              </w:rPr>
              <w:t>Bd. III S. 1–187</w:t>
            </w:r>
          </w:p>
        </w:tc>
      </w:tr>
      <w:tr>
        <w:tc>
          <w:tcPr>
            <w:tcW w:type="dxa" w:w="2268"/>
          </w:tcPr>
          <w:p>
            <w:r>
              <w:rPr>
                <w:rFonts w:ascii="Times New Roman" w:hAnsi="Times New Roman"/>
                <w:sz w:val="20"/>
              </w:rPr>
              <w:t>Iordache RO-SIM (Roaming)</w:t>
            </w:r>
          </w:p>
        </w:tc>
        <w:tc>
          <w:tcPr>
            <w:tcW w:type="dxa" w:w="2268"/>
          </w:tcPr>
          <w:p>
            <w:r>
              <w:rPr>
                <w:rFonts w:ascii="Times New Roman" w:hAnsi="Times New Roman"/>
                <w:sz w:val="20"/>
              </w:rPr>
              <w:t>44</w:t>
            </w:r>
          </w:p>
        </w:tc>
        <w:tc>
          <w:tcPr>
            <w:tcW w:type="dxa" w:w="2268"/>
          </w:tcPr>
          <w:p>
            <w:r>
              <w:rPr>
                <w:rFonts w:ascii="Times New Roman" w:hAnsi="Times New Roman"/>
                <w:sz w:val="20"/>
              </w:rPr>
              <w:t>18</w:t>
            </w:r>
          </w:p>
        </w:tc>
        <w:tc>
          <w:tcPr>
            <w:tcW w:type="dxa" w:w="2268"/>
          </w:tcPr>
          <w:p>
            <w:r>
              <w:rPr>
                <w:rFonts w:ascii="Times New Roman" w:hAnsi="Times New Roman"/>
                <w:sz w:val="20"/>
              </w:rPr>
              <w:t>Bd. IV S. 1–82</w:t>
            </w:r>
          </w:p>
        </w:tc>
      </w:tr>
      <w:tr>
        <w:tc>
          <w:tcPr>
            <w:tcW w:type="dxa" w:w="2268"/>
          </w:tcPr>
          <w:p>
            <w:r>
              <w:rPr>
                <w:rFonts w:ascii="Times New Roman" w:hAnsi="Times New Roman"/>
                <w:sz w:val="20"/>
              </w:rPr>
              <w:t>Drebenstedt Folge-SIM</w:t>
            </w:r>
          </w:p>
        </w:tc>
        <w:tc>
          <w:tcPr>
            <w:tcW w:type="dxa" w:w="2268"/>
          </w:tcPr>
          <w:p>
            <w:r>
              <w:rPr>
                <w:rFonts w:ascii="Times New Roman" w:hAnsi="Times New Roman"/>
                <w:sz w:val="20"/>
              </w:rPr>
              <w:t>389</w:t>
            </w:r>
          </w:p>
        </w:tc>
        <w:tc>
          <w:tcPr>
            <w:tcW w:type="dxa" w:w="2268"/>
          </w:tcPr>
          <w:p>
            <w:r>
              <w:rPr>
                <w:rFonts w:ascii="Times New Roman" w:hAnsi="Times New Roman"/>
                <w:sz w:val="20"/>
              </w:rPr>
              <w:t>21</w:t>
            </w:r>
          </w:p>
        </w:tc>
        <w:tc>
          <w:tcPr>
            <w:tcW w:type="dxa" w:w="2268"/>
          </w:tcPr>
          <w:p>
            <w:r>
              <w:rPr>
                <w:rFonts w:ascii="Times New Roman" w:hAnsi="Times New Roman"/>
                <w:sz w:val="20"/>
              </w:rPr>
              <w:t>Bd. IV S. 83–268</w:t>
            </w:r>
          </w:p>
        </w:tc>
      </w:tr>
    </w:tbl>
    <w:p>
      <w:pPr>
        <w:jc w:val="left"/>
      </w:pPr>
      <w:r>
        <w:rPr>
          <w:b/>
        </w:rPr>
        <w:t>Gesamtauswertung:</w:t>
      </w:r>
      <w:r>
        <w:t xml:space="preserve"> Die StA hat 163 Gespräche als "tatrelevant" klassifiziert und in den Hauptakten referenziert. Die übrigen Protokolle sind im Sonderband abgelegt und wurden der Verteidigung nur teilweise zuegaenglich gemacht (vgl. AS 08).</w:t>
      </w:r>
    </w:p>
    <w:p/>
    <w:p>
      <w:pPr>
        <w:pStyle w:val="Heading2"/>
      </w:pPr>
      <w:r>
        <w:rPr>
          <w:rFonts w:ascii="Times New Roman" w:hAnsi="Times New Roman"/>
        </w:rPr>
        <w:t>2. Relevante Gespräche — Auswahl nach Tatbezug</w:t>
      </w:r>
    </w:p>
    <w:p>
      <w:pPr>
        <w:pStyle w:val="Heading3"/>
      </w:pPr>
      <w:r>
        <w:rPr>
          <w:rFonts w:ascii="Times New Roman" w:hAnsi="Times New Roman"/>
        </w:rPr>
        <w:t>2.1 Gespräche vor der Tat (Planung)</w:t>
      </w:r>
    </w:p>
    <w:p>
      <w:pPr>
        <w:jc w:val="left"/>
      </w:pPr>
      <w:r>
        <w:rPr>
          <w:b/>
        </w:rPr>
        <w:t>Gespräch G-01</w:t>
      </w:r>
      <w:r>
        <w:t xml:space="preserve"> (16.10.2025, 21:14 Uhr, Korbiel PL-SIM zu Drebenstedt):</w:t>
      </w:r>
    </w:p>
    <w:p>
      <w:pPr>
        <w:ind w:left="567"/>
      </w:pPr>
      <w:r>
        <w:rPr>
          <w:i/>
        </w:rPr>
        <w:t>"Morgen schauen wir uns das nochmal an, grosse Scheibe, wenig Leute donnerstags"</w:t>
      </w:r>
    </w:p>
    <w:p>
      <w:pPr>
        <w:jc w:val="left"/>
      </w:pPr>
      <w:r>
        <w:rPr>
          <w:i/>
        </w:rPr>
        <w:t>Anmerkung Verteidigung:</w:t>
      </w:r>
      <w:r>
        <w:t xml:space="preserve"> Inhalt ist mehrdeutig; "Scheibe" könnte Schaufensterscheibe oder Schaufensterdeko meinen. Kein expliziter Tatplan erkennbar. Verständigung: Korbiel beansprucht, es handle sich um ein anderes Einkaufszentrum.</w:t>
      </w:r>
    </w:p>
    <w:p>
      <w:pPr>
        <w:jc w:val="left"/>
      </w:pPr>
      <w:r>
        <w:rPr>
          <w:b/>
        </w:rPr>
        <w:t>Gespräch G-07</w:t>
      </w:r>
      <w:r>
        <w:t xml:space="preserve"> (17.10.2025, 18:42 Uhr, Drebenstedt an unbekannte Nummer):</w:t>
      </w:r>
    </w:p>
    <w:p>
      <w:pPr>
        <w:ind w:left="567"/>
      </w:pPr>
      <w:r>
        <w:rPr>
          <w:i/>
        </w:rPr>
        <w:t>"Der Wagen ist fertig, Parkdeck B, König [Königsbau], ich bin ab 9 da"</w:t>
      </w:r>
    </w:p>
    <w:p>
      <w:pPr>
        <w:jc w:val="left"/>
      </w:pPr>
      <w:r>
        <w:rPr>
          <w:i/>
        </w:rPr>
        <w:t>Anmerkung Verteidigung:</w:t>
      </w:r>
      <w:r>
        <w:t xml:space="preserve"> Belastend für Drebenstedt; "König" legt Königstrasse nahe. Pruefung: Wer ist die unbekannte Nummer?</w:t>
      </w:r>
    </w:p>
    <w:p>
      <w:pPr>
        <w:jc w:val="left"/>
      </w:pPr>
      <w:r>
        <w:rPr>
          <w:b/>
        </w:rPr>
        <w:t>Gespräch G-14</w:t>
      </w:r>
      <w:r>
        <w:t xml:space="preserve"> (18.10.2025, 09:55 Uhr, Krasniqi an Korbiel):</w:t>
      </w:r>
    </w:p>
    <w:p>
      <w:pPr>
        <w:ind w:left="567"/>
      </w:pPr>
      <w:r>
        <w:rPr>
          <w:i/>
        </w:rPr>
        <w:t>"Jetzt da oben, alles ruhig, eine Verkäufer die ältere"</w:t>
      </w:r>
    </w:p>
    <w:p>
      <w:pPr>
        <w:jc w:val="left"/>
      </w:pPr>
      <w:r>
        <w:rPr>
          <w:i/>
        </w:rPr>
        <w:t>Anmerkung Verteidigung:</w:t>
      </w:r>
      <w:r>
        <w:t xml:space="preserve"> Hochbelastend für Krasniqi; zeitlich unmittelbar vor Tat, Tatortbeschreibung. Verwertbar?</w:t>
      </w:r>
    </w:p>
    <w:p>
      <w:pPr>
        <w:pStyle w:val="Heading3"/>
      </w:pPr>
      <w:r>
        <w:rPr>
          <w:rFonts w:ascii="Times New Roman" w:hAnsi="Times New Roman"/>
        </w:rPr>
        <w:t>2.2 Gespräche nach der Tat (Aufarbeitung, Flucht)</w:t>
      </w:r>
    </w:p>
    <w:p>
      <w:pPr>
        <w:jc w:val="left"/>
      </w:pPr>
      <w:r>
        <w:rPr>
          <w:b/>
        </w:rPr>
        <w:t>Gespräch G-41</w:t>
      </w:r>
      <w:r>
        <w:t xml:space="preserve"> (18.10.2025, 12:20 Uhr, Drebenstedt an Krasniqi, Anruf von neuer SIM):</w:t>
      </w:r>
    </w:p>
    <w:p>
      <w:pPr>
        <w:ind w:left="567"/>
      </w:pPr>
      <w:r>
        <w:rPr>
          <w:i/>
        </w:rPr>
        <w:t>[Inhalt schwer verständlich, Hintergrundgeräusch Autobahn] "...wir waren alle draussen... alles hat geklappt... sag nix..."</w:t>
      </w:r>
    </w:p>
    <w:p>
      <w:pPr>
        <w:jc w:val="left"/>
      </w:pPr>
      <w:r>
        <w:rPr>
          <w:i/>
        </w:rPr>
        <w:t>Anmerkung Verteidigung:</w:t>
      </w:r>
      <w:r>
        <w:t xml:space="preserve"> Mögliche Beweiswuerdigungsfrage: Krasniqi wurde um 10:55 Uhr am Tatort festgenommen — wie kann sie um 12:20 Uhr ein Telefonat geführt haben? TKUe-Protokoll prüft, ob es die JVA-Zelle Krasniqi ist oder ob die SIM umgeleitet wurde. Widersprüchlichkeit muss in der Hauptverhandlung thematisiert werden.</w:t>
      </w:r>
    </w:p>
    <w:p>
      <w:pPr>
        <w:jc w:val="left"/>
      </w:pPr>
      <w:r>
        <w:rPr>
          <w:b/>
        </w:rPr>
        <w:t>Gespräch G-58</w:t>
      </w:r>
      <w:r>
        <w:t xml:space="preserve"> (19.10.2025, 14:11 Uhr, Drebenstedt an unbekannt):</w:t>
      </w:r>
    </w:p>
    <w:p>
      <w:pPr>
        <w:ind w:left="567"/>
      </w:pPr>
      <w:r>
        <w:rPr>
          <w:i/>
        </w:rPr>
        <w:t>"...schick das an die Adresse, Hamid weiss wo..."</w:t>
      </w:r>
    </w:p>
    <w:p>
      <w:pPr>
        <w:jc w:val="left"/>
      </w:pPr>
      <w:r>
        <w:rPr>
          <w:i/>
        </w:rPr>
        <w:t>Anmerkung Verteidigung:</w:t>
      </w:r>
      <w:r>
        <w:t xml:space="preserve"> "Hamid" deutet auf Hawala-Kontakt hin (vgl. AS 07 Geldwaesche).</w:t>
      </w:r>
    </w:p>
    <w:p/>
    <w:p>
      <w:pPr>
        <w:pStyle w:val="Heading2"/>
      </w:pPr>
      <w:r>
        <w:rPr>
          <w:rFonts w:ascii="Times New Roman" w:hAnsi="Times New Roman"/>
        </w:rPr>
        <w:t>3. Verteidigungsrelevante TKUe-Prüfpunkte</w:t>
      </w:r>
    </w:p>
    <w:p>
      <w:pPr>
        <w:pStyle w:val="Heading3"/>
      </w:pPr>
      <w:r>
        <w:rPr>
          <w:rFonts w:ascii="Times New Roman" w:hAnsi="Times New Roman"/>
        </w:rPr>
        <w:t>3.1 Formalpruefung</w:t>
      </w:r>
    </w:p>
    <w:p>
      <w:pPr>
        <w:pStyle w:val="ListBullet"/>
      </w:pPr>
      <w:r>
        <w:t>[ ] Sind alle TKUe-Beschlüsse rechtzeitig richterlich genehmigt worden (§ 100b Abs. 1 StPO: richterliche Anordnung, nicht nur nachträgliche Bestätigung)?</w:t>
      </w:r>
    </w:p>
    <w:p>
      <w:pPr>
        <w:pStyle w:val="ListBullet"/>
      </w:pPr>
      <w:r>
        <w:t>[ ] Wurde die Benachrichtigungspflicht nach § 101 Abs. 4 StPO eingehalten (Mitteilung an Betroffene nach Abschluss)?</w:t>
      </w:r>
    </w:p>
    <w:p>
      <w:pPr>
        <w:pStyle w:val="ListBullet"/>
      </w:pPr>
      <w:r>
        <w:t>[ ] Liegen alle Verlängerungsbeschlüsse im Original vor?</w:t>
      </w:r>
    </w:p>
    <w:p>
      <w:pPr>
        <w:pStyle w:val="ListBullet"/>
      </w:pPr>
      <w:r>
        <w:t>[ ] Hat die Staatsanwaltschaft die Protokolle vollständig vorgelegt oder nur eine Auswahl? (Vollständigkeit § 147 StPO)</w:t>
      </w:r>
    </w:p>
    <w:p>
      <w:pPr>
        <w:pStyle w:val="Heading3"/>
      </w:pPr>
      <w:r>
        <w:rPr>
          <w:rFonts w:ascii="Times New Roman" w:hAnsi="Times New Roman"/>
        </w:rPr>
        <w:t>3.2 Inhaltliche Pruefung</w:t>
      </w:r>
    </w:p>
    <w:p>
      <w:pPr>
        <w:pStyle w:val="ListBullet"/>
      </w:pPr>
      <w:r>
        <w:t>[ ] Gespräch G-01: Mehrdeutigkeit thematisieren — kein klarer Tatplan in wortgetreuer Wiedergabe</w:t>
      </w:r>
    </w:p>
    <w:p>
      <w:pPr>
        <w:pStyle w:val="ListBullet"/>
      </w:pPr>
      <w:r>
        <w:t>[ ] Gespräch G-41: Zeitlichen Widerspruch zur Inhaftierung Krasniqi aufklären</w:t>
      </w:r>
    </w:p>
    <w:p>
      <w:pPr>
        <w:pStyle w:val="ListBullet"/>
      </w:pPr>
      <w:r>
        <w:t>[ ] Alle 163 "tatrelevanten" Gespräche im Volltext besorgen und gegenüber Zusammenfassungen in Anklageschrift abgleichen</w:t>
      </w:r>
    </w:p>
    <w:p>
      <w:pPr>
        <w:pStyle w:val="ListBullet"/>
      </w:pPr>
      <w:r>
        <w:t>[ ] Pruefung nach § 100a Abs. 4 StPO: Kernbereich des persönlichen Lebens bei Krasniqi (Gespräche mit Kind, Arzt)</w:t>
      </w:r>
    </w:p>
    <w:p>
      <w:pPr>
        <w:pStyle w:val="Heading3"/>
      </w:pPr>
      <w:r>
        <w:rPr>
          <w:rFonts w:ascii="Times New Roman" w:hAnsi="Times New Roman"/>
        </w:rPr>
        <w:t>3.3 Übersetzungsqualität</w:t>
      </w:r>
    </w:p>
    <w:p>
      <w:pPr>
        <w:jc w:val="left"/>
      </w:pPr>
      <w:r>
        <w:t>Korbiel hat tlw. polnisch gesprochen. Die Übersetzungen (Dolmetscherin: Marta Wieloch, vereidigte Übersetzerin Stuttgart) sind auf Richtigkeit zu prüfen. Dr. Schorlemmer hat einen eigenen Dolmetscher beauftragt (Dipl.-Dolmetscherin Jana Ryszkowiak).</w:t>
      </w:r>
    </w:p>
    <w:p/>
    <w:p>
      <w:pPr>
        <w:pStyle w:val="Heading2"/>
      </w:pPr>
      <w:r>
        <w:rPr>
          <w:rFonts w:ascii="Times New Roman" w:hAnsi="Times New Roman"/>
        </w:rPr>
        <w:t>4. Prozessstrategische Einordnung</w:t>
      </w:r>
    </w:p>
    <w:p>
      <w:pPr>
        <w:jc w:val="left"/>
      </w:pPr>
      <w:r>
        <w:t>Die TKUe-Protokolle sind für alle vier Beschuldigten erheblich belastend, aber unterschiedlich stark:</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Beschuldigter</w:t>
            </w:r>
          </w:p>
        </w:tc>
        <w:tc>
          <w:tcPr>
            <w:tcW w:type="dxa" w:w="3024"/>
          </w:tcPr>
          <w:p>
            <w:r>
              <w:rPr>
                <w:rFonts w:ascii="Times New Roman" w:hAnsi="Times New Roman"/>
                <w:b/>
                <w:sz w:val="20"/>
              </w:rPr>
              <w:t>Belastungsintensität</w:t>
            </w:r>
          </w:p>
        </w:tc>
        <w:tc>
          <w:tcPr>
            <w:tcW w:type="dxa" w:w="3024"/>
          </w:tcPr>
          <w:p>
            <w:r>
              <w:rPr>
                <w:rFonts w:ascii="Times New Roman" w:hAnsi="Times New Roman"/>
                <w:b/>
                <w:sz w:val="20"/>
              </w:rPr>
              <w:t>Hauptproblem für Verteidigung</w:t>
            </w:r>
          </w:p>
        </w:tc>
      </w:tr>
      <w:tr>
        <w:tc>
          <w:tcPr>
            <w:tcW w:type="dxa" w:w="3024"/>
          </w:tcPr>
          <w:p>
            <w:r>
              <w:rPr>
                <w:rFonts w:ascii="Times New Roman" w:hAnsi="Times New Roman"/>
                <w:sz w:val="20"/>
              </w:rPr>
              <w:t>Korbiel</w:t>
            </w:r>
          </w:p>
        </w:tc>
        <w:tc>
          <w:tcPr>
            <w:tcW w:type="dxa" w:w="3024"/>
          </w:tcPr>
          <w:p>
            <w:r>
              <w:rPr>
                <w:rFonts w:ascii="Times New Roman" w:hAnsi="Times New Roman"/>
                <w:sz w:val="20"/>
              </w:rPr>
              <w:t>Hoch</w:t>
            </w:r>
          </w:p>
        </w:tc>
        <w:tc>
          <w:tcPr>
            <w:tcW w:type="dxa" w:w="3024"/>
          </w:tcPr>
          <w:p>
            <w:r>
              <w:rPr>
                <w:rFonts w:ascii="Times New Roman" w:hAnsi="Times New Roman"/>
                <w:sz w:val="20"/>
              </w:rPr>
              <w:t>Gespräch G-01, G-14 (Tatortbezug)</w:t>
            </w:r>
          </w:p>
        </w:tc>
      </w:tr>
      <w:tr>
        <w:tc>
          <w:tcPr>
            <w:tcW w:type="dxa" w:w="3024"/>
          </w:tcPr>
          <w:p>
            <w:r>
              <w:rPr>
                <w:rFonts w:ascii="Times New Roman" w:hAnsi="Times New Roman"/>
                <w:sz w:val="20"/>
              </w:rPr>
              <w:t>Drebenstedt</w:t>
            </w:r>
          </w:p>
        </w:tc>
        <w:tc>
          <w:tcPr>
            <w:tcW w:type="dxa" w:w="3024"/>
          </w:tcPr>
          <w:p>
            <w:r>
              <w:rPr>
                <w:rFonts w:ascii="Times New Roman" w:hAnsi="Times New Roman"/>
                <w:sz w:val="20"/>
              </w:rPr>
              <w:t>Sehr hoch</w:t>
            </w:r>
          </w:p>
        </w:tc>
        <w:tc>
          <w:tcPr>
            <w:tcW w:type="dxa" w:w="3024"/>
          </w:tcPr>
          <w:p>
            <w:r>
              <w:rPr>
                <w:rFonts w:ascii="Times New Roman" w:hAnsi="Times New Roman"/>
                <w:sz w:val="20"/>
              </w:rPr>
              <w:t>Gespräche G-07, G-41 (Fahrzeug, Flucht)</w:t>
            </w:r>
          </w:p>
        </w:tc>
      </w:tr>
      <w:tr>
        <w:tc>
          <w:tcPr>
            <w:tcW w:type="dxa" w:w="3024"/>
          </w:tcPr>
          <w:p>
            <w:r>
              <w:rPr>
                <w:rFonts w:ascii="Times New Roman" w:hAnsi="Times New Roman"/>
                <w:sz w:val="20"/>
              </w:rPr>
              <w:t>Krasniqi</w:t>
            </w:r>
          </w:p>
        </w:tc>
        <w:tc>
          <w:tcPr>
            <w:tcW w:type="dxa" w:w="3024"/>
          </w:tcPr>
          <w:p>
            <w:r>
              <w:rPr>
                <w:rFonts w:ascii="Times New Roman" w:hAnsi="Times New Roman"/>
                <w:sz w:val="20"/>
              </w:rPr>
              <w:t>Hoch, aber Widerspruch</w:t>
            </w:r>
          </w:p>
        </w:tc>
        <w:tc>
          <w:tcPr>
            <w:tcW w:type="dxa" w:w="3024"/>
          </w:tcPr>
          <w:p>
            <w:r>
              <w:rPr>
                <w:rFonts w:ascii="Times New Roman" w:hAnsi="Times New Roman"/>
                <w:sz w:val="20"/>
              </w:rPr>
              <w:t>Zeitlicher Widerspruch G-41 klaerbar</w:t>
            </w:r>
          </w:p>
        </w:tc>
      </w:tr>
      <w:tr>
        <w:tc>
          <w:tcPr>
            <w:tcW w:type="dxa" w:w="3024"/>
          </w:tcPr>
          <w:p>
            <w:r>
              <w:rPr>
                <w:rFonts w:ascii="Times New Roman" w:hAnsi="Times New Roman"/>
                <w:sz w:val="20"/>
              </w:rPr>
              <w:t>Iordache</w:t>
            </w:r>
          </w:p>
        </w:tc>
        <w:tc>
          <w:tcPr>
            <w:tcW w:type="dxa" w:w="3024"/>
          </w:tcPr>
          <w:p>
            <w:r>
              <w:rPr>
                <w:rFonts w:ascii="Times New Roman" w:hAnsi="Times New Roman"/>
                <w:sz w:val="20"/>
              </w:rPr>
              <w:t>Mittel</w:t>
            </w:r>
          </w:p>
        </w:tc>
        <w:tc>
          <w:tcPr>
            <w:tcW w:type="dxa" w:w="3024"/>
          </w:tcPr>
          <w:p>
            <w:r>
              <w:rPr>
                <w:rFonts w:ascii="Times New Roman" w:hAnsi="Times New Roman"/>
                <w:sz w:val="20"/>
              </w:rPr>
              <w:t>Nur Roaming-Gespräche, keine direkten Tatbefehle</w:t>
            </w:r>
          </w:p>
        </w:tc>
      </w:tr>
    </w:tbl>
    <w:p>
      <w:pPr>
        <w:jc w:val="left"/>
      </w:pPr>
      <w:r>
        <w:rPr>
          <w:b/>
        </w:rPr>
        <w:t>Quellen:</w:t>
      </w:r>
      <w:r>
        <w:t xml:space="preserve"> § 100a StPO, § 100b StPO, § 101 StPO (dejure.org); BGH NStZ 2017, 603 (TKUe-Beweisverbot); OLG Stuttgart 1 Ws 10/24 (Benachrichtigungspflicht).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