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07 — Geldwaesche: BTC-Wallets (Chain-Analysis), Hawala-Transaktionen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Bearbeitung:</w:t>
      </w:r>
      <w:r>
        <w:t xml:space="preserve"> Gemeinsam alle Verteidiger; Schwerpunkt RA Dr. Schorlemmer (Korbiel) und RA Krämer (Iordache)</w:t>
      </w:r>
    </w:p>
    <w:p>
      <w:pPr>
        <w:jc w:val="left"/>
      </w:pPr>
      <w:r>
        <w:rPr>
          <w:b/>
        </w:rPr>
        <w:t>Ermittlungsstrang:</w:t>
      </w:r>
      <w:r>
        <w:t xml:space="preserve"> Geldwaesche § 261 StGB, Einziehung § 73 ff. StGB</w:t>
      </w:r>
    </w:p>
    <w:p>
      <w:pPr>
        <w:jc w:val="left"/>
      </w:pPr>
      <w:r>
        <w:rPr>
          <w:b/>
        </w:rPr>
        <w:t>Stand:</w:t>
      </w:r>
      <w:r>
        <w:t xml:space="preserve"> 27.01.2026</w:t>
      </w:r>
    </w:p>
    <w:p/>
    <w:p>
      <w:pPr>
        <w:pStyle w:val="Heading2"/>
      </w:pPr>
      <w:r>
        <w:rPr>
          <w:rFonts w:ascii="Times New Roman" w:hAnsi="Times New Roman"/>
        </w:rPr>
        <w:t>1. Sichergestellte Wertbeute</w:t>
      </w:r>
    </w:p>
    <w:p>
      <w:pPr>
        <w:jc w:val="left"/>
      </w:pPr>
      <w:r>
        <w:t>Die Wertbeute am 18.10.2025 umfasste laut Sicherstellungsprotokoll LKA BW EG Juwel 2025-1018: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(Schätzung SV Gruben)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Rolex-Uhren (versch. Modelle)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 Stück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420.000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Patek-Philippe-Uhren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Stück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780.000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Bulgari-Halsketten (18k Gold, Diamantbesatz)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 Stück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390.000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Schmuckstücke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37 Stück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110.000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Gesamtbeute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1.700.000 EUR</w:t>
            </w:r>
          </w:p>
        </w:tc>
      </w:tr>
    </w:tbl>
    <w:p>
      <w:pPr>
        <w:jc w:val="left"/>
      </w:pPr>
      <w:r>
        <w:t>Davon sichergestellt: 0 EUR / 0 Stück (keine Beute bei Verhaftung, Fluchtwagen ohne Ware). Die gesamte Beute gilt als verschleppt. Drebenstedt konnte mit Fluchtwagen entkommen (bis zu seiner spaetlichen Festnahme in Bad Cannstatt am 22.10.2025).</w:t>
      </w:r>
    </w:p>
    <w:p>
      <w:pPr>
        <w:jc w:val="left"/>
      </w:pPr>
      <w:r>
        <w:rPr>
          <w:b/>
        </w:rPr>
        <w:t>Verbleib Beute:</w:t>
      </w:r>
      <w:r>
        <w:t xml:space="preserve"> Nach Auswertung der Chain-Analysis und Hawala-Informationen (s.u.) wird die Beute als bereits teilweise "gewaschen" eingestuft.</w:t>
      </w:r>
    </w:p>
    <w:p/>
    <w:p>
      <w:pPr>
        <w:pStyle w:val="Heading2"/>
      </w:pPr>
      <w:r>
        <w:rPr>
          <w:rFonts w:ascii="Times New Roman" w:hAnsi="Times New Roman"/>
        </w:rPr>
        <w:t>2. BTC-Wallets — Chain-Analysis</w:t>
      </w:r>
    </w:p>
    <w:p>
      <w:pPr>
        <w:pStyle w:val="Heading3"/>
      </w:pPr>
      <w:r>
        <w:rPr>
          <w:rFonts w:ascii="Times New Roman" w:hAnsi="Times New Roman"/>
        </w:rPr>
        <w:t>2.1 Hintergrund</w:t>
      </w:r>
    </w:p>
    <w:p>
      <w:pPr>
        <w:jc w:val="left"/>
      </w:pPr>
      <w:r>
        <w:t>Die EG Juwel hat in Kooperation mit der Financial Intelligence Unit (FIU) des Zolls und dem BKA-Dezernat SOK eine Chain-Analysis (Blockchain-Transaktionsanalyse) auf der Grundlage identifizierter Wallet-Adressen durchgeführt.</w:t>
      </w:r>
    </w:p>
    <w:p>
      <w:pPr>
        <w:jc w:val="left"/>
      </w:pPr>
      <w:r>
        <w:rPr>
          <w:b/>
        </w:rPr>
        <w:t>Dienstleister:</w:t>
      </w:r>
      <w:r>
        <w:t xml:space="preserve"> Chainalysis Inc. (US-Unternehmen), Kooperation BKA, Auftrag vom 25.10.2025</w:t>
      </w:r>
    </w:p>
    <w:p>
      <w:pPr>
        <w:pStyle w:val="Heading3"/>
      </w:pPr>
      <w:r>
        <w:rPr>
          <w:rFonts w:ascii="Times New Roman" w:hAnsi="Times New Roman"/>
        </w:rPr>
        <w:t>2.2 Identifizierte Wallets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Wallet-ID (anonymisiert)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 laut EG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(Schnappschuss 30.10.2025)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Verbindung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bc1q...koffer77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"Wallet Korbiel"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3,4 BTC (ca. 210.000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Transaktion von "Wallet Iordache" am 20.10.2025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bc1q...redking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"Wallet Iordache"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14,2 BTC (ca. 880.000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Eingehende TX von OTC-Broker (Dubai) am 22.10.2025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bc1q...ldrive22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"Wallet Drebenstedt"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1,1 BTC (ca. 68.000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Empfang von "Wallet Iordache"</w:t>
            </w:r>
          </w:p>
        </w:tc>
      </w:tr>
    </w:tbl>
    <w:p>
      <w:pPr>
        <w:jc w:val="left"/>
      </w:pPr>
      <w:r>
        <w:rPr>
          <w:b/>
        </w:rPr>
        <w:t>Technische Grundlage:</w:t>
      </w:r>
      <w:r>
        <w:t xml:space="preserve"> Die Wallet-Zuordnung basiert auf:</w:t>
      </w:r>
    </w:p>
    <w:p>
      <w:pPr>
        <w:pStyle w:val="ListNumber"/>
      </w:pPr>
      <w:r>
        <w:t>Adressreferenzen in SkyECC-Nachrichten ("MK_Koffer": "meine Adresse ist bc1q...koffer77")</w:t>
      </w:r>
    </w:p>
    <w:p>
      <w:pPr>
        <w:pStyle w:val="ListNumber"/>
      </w:pPr>
      <w:r>
        <w:t>IP-Logging eines OTC-Brokers in Dubai (Rechtshilfeersuchen läuft noch)</w:t>
      </w:r>
    </w:p>
    <w:p>
      <w:pPr>
        <w:pStyle w:val="ListNumber"/>
      </w:pPr>
      <w:r>
        <w:t>Transaktionsmuster (Clustering-Analyse)</w:t>
      </w:r>
    </w:p>
    <w:p>
      <w:pPr>
        <w:pStyle w:val="Heading3"/>
      </w:pPr>
      <w:r>
        <w:rPr>
          <w:rFonts w:ascii="Times New Roman" w:hAnsi="Times New Roman"/>
        </w:rPr>
        <w:t>2.3 Beschlagnahme und Sicherstellung</w:t>
      </w:r>
    </w:p>
    <w:p>
      <w:pPr>
        <w:jc w:val="left"/>
      </w:pPr>
      <w:r>
        <w:t>Die Staatsanwaltschaft hat am 03.11.2025 eine Krypto-Beschlagnahme ("Krypto-Sicherstellung") durch den Beschluss AG Stuttgart Az. 2025-3012 BK eingeleitet. Die technische Sicherstellung ist jedoch noch nicht abgeschlossen (fehlende Private Keys). Die BTC befinden sich noch in den Wallets, sind aber durch Monitoring blockiert (Kooperation Chainalysis).</w:t>
      </w:r>
    </w:p>
    <w:p>
      <w:pPr>
        <w:jc w:val="left"/>
      </w:pPr>
      <w:r>
        <w:rPr>
          <w:b/>
        </w:rPr>
        <w:t>Einziehungsrechtliche Grundlage:</w:t>
      </w:r>
      <w:r>
        <w:t xml:space="preserve"> § 73 Abs. 1 StGB (Einziehung von Taterträgen); § 76a Abs. 4 StGB (selbständige Einziehung ohne Verurteilung möglich, falls Iordache nicht gefasst wird); § 111b Abs. 1 StPO (vorläufige Sicherstellung).</w:t>
      </w:r>
    </w:p>
    <w:p/>
    <w:p>
      <w:pPr>
        <w:pStyle w:val="Heading2"/>
      </w:pPr>
      <w:r>
        <w:rPr>
          <w:rFonts w:ascii="Times New Roman" w:hAnsi="Times New Roman"/>
        </w:rPr>
        <w:t>3. Hawala-Transaktionen</w:t>
      </w:r>
    </w:p>
    <w:p>
      <w:pPr>
        <w:pStyle w:val="Heading3"/>
      </w:pPr>
      <w:r>
        <w:rPr>
          <w:rFonts w:ascii="Times New Roman" w:hAnsi="Times New Roman"/>
        </w:rPr>
        <w:t>3.1 Hawala-System — Erklärung</w:t>
      </w:r>
    </w:p>
    <w:p>
      <w:pPr>
        <w:jc w:val="left"/>
      </w:pPr>
      <w:r>
        <w:t>Das Hawala-System ist ein informelles Wertüberweisungsnetz ohne physische Geldtransfers. Beträge werden durch Vertrauen und Gegenkonten zwischen Hawaladaren verrechnet. Es ist in Deutschland nach § 10 ZAG genehmigungspflichtig, aber häufig ungenehmigt (Strafbarkeit § 54 Abs. 1 Nr. 2 ZAG).</w:t>
      </w:r>
    </w:p>
    <w:p>
      <w:pPr>
        <w:pStyle w:val="Heading3"/>
      </w:pPr>
      <w:r>
        <w:rPr>
          <w:rFonts w:ascii="Times New Roman" w:hAnsi="Times New Roman"/>
        </w:rPr>
        <w:t>3.2 Erkenntnisse im vorliegenden Verfahren</w:t>
      </w:r>
    </w:p>
    <w:p>
      <w:pPr>
        <w:jc w:val="left"/>
      </w:pPr>
      <w:r>
        <w:t>Aus den SkyECC-Nachrichten und einer VP-Aussage (Identität unter § 96 StPO gesperrt) ergibt sich:</w:t>
      </w:r>
    </w:p>
    <w:p>
      <w:pPr>
        <w:jc w:val="left"/>
      </w:pPr>
      <w:r>
        <w:rPr>
          <w:b/>
        </w:rPr>
        <w:t>Hawala-Kette (rekonstruiert):</w:t>
      </w:r>
    </w:p>
    <w:p>
      <w:pPr>
        <w:pStyle w:val="ListBullet"/>
      </w:pPr>
      <w:r>
        <w:t>Iordache zahlte an "Hamid" (Hawaladaer Stuttgart, Identität ermittelt aber nicht angeklagt) ca. 180.000 EUR cash, gemünzt auf Weiterleitung nach Rumänien</w:t>
      </w:r>
    </w:p>
    <w:p>
      <w:pPr>
        <w:pStyle w:val="ListBullet"/>
      </w:pPr>
      <w:r>
        <w:t>"Hamid" veranlasste Gegenabbuchung bei rumänischem Hawaladaer "Radu" (Bukarest, Identität unbekannt)</w:t>
      </w:r>
    </w:p>
    <w:p>
      <w:pPr>
        <w:pStyle w:val="ListBullet"/>
      </w:pPr>
      <w:r>
        <w:t>"Radu" leitete Gegenwert in RON (rumänische Leu) an Familienangehörige Iordaches weiter</w:t>
      </w:r>
    </w:p>
    <w:p>
      <w:pPr>
        <w:jc w:val="left"/>
      </w:pPr>
      <w:r>
        <w:rPr>
          <w:b/>
        </w:rPr>
        <w:t>Nachweis:</w:t>
      </w:r>
      <w:r>
        <w:t xml:space="preserve"> TKUe-Gespräch G-58 ("schick das an die Adresse, Hamid weiss wo..."), Observation LKA ("Hamid"-Treffen am 19.10.2025 im Stuttgarter Westend, Person identifiziert als Mehmet H., 49).</w:t>
      </w:r>
    </w:p>
    <w:p>
      <w:pPr>
        <w:pStyle w:val="Heading3"/>
      </w:pPr>
      <w:r>
        <w:rPr>
          <w:rFonts w:ascii="Times New Roman" w:hAnsi="Times New Roman"/>
        </w:rPr>
        <w:t>3.3 Strafbarkeit § 261 StGB</w:t>
      </w:r>
    </w:p>
    <w:p>
      <w:pPr>
        <w:jc w:val="left"/>
      </w:pPr>
      <w:r>
        <w:t>Die Schmuckbeute und BTC-Transaktionen sind tatgegenstaendlich i.S.d. § 261 Abs. 1 StGB (Verschleiern der Herkunft aus bandenmaessigem Raub als Vortat i.S.d. § 261 Abs. 1 Nr. 1 StGB). Taterträge aus dem Raub gelten als "kriminell kontaminiert".</w:t>
      </w:r>
    </w:p>
    <w:p>
      <w:pPr>
        <w:jc w:val="left"/>
      </w:pPr>
      <w:r>
        <w:rPr>
          <w:b/>
        </w:rPr>
        <w:t>Strafrechtliche Wertung:</w:t>
      </w:r>
      <w:r>
        <w:t xml:space="preserve"> Iordache: Haupttäter § 261 StGB; Korbiel: Ggf. Gehilfe (Wallet-Empfang); Drebenstedt: Ggf. § 261 Abs. 6 StGB (leichtfertig); Krasniqi: Keine Geldwaesche-Erkenntnisse vorhanden.</w:t>
      </w:r>
    </w:p>
    <w:p/>
    <w:p>
      <w:pPr>
        <w:pStyle w:val="Heading2"/>
      </w:pPr>
      <w:r>
        <w:rPr>
          <w:rFonts w:ascii="Times New Roman" w:hAnsi="Times New Roman"/>
        </w:rPr>
        <w:t>4. Abwehrmassnahmen Verteidigung</w:t>
      </w:r>
    </w:p>
    <w:p>
      <w:pPr>
        <w:pStyle w:val="Heading3"/>
      </w:pPr>
      <w:r>
        <w:rPr>
          <w:rFonts w:ascii="Times New Roman" w:hAnsi="Times New Roman"/>
        </w:rPr>
        <w:t>4.1 Korbiel (Dr. Schorlemmer)</w:t>
      </w:r>
    </w:p>
    <w:p>
      <w:pPr>
        <w:pStyle w:val="ListBullet"/>
      </w:pPr>
      <w:r>
        <w:t>Bestreitet Kenntnis der Wallet-Adresse "bc1q...koffer77"</w:t>
      </w:r>
    </w:p>
    <w:p>
      <w:pPr>
        <w:pStyle w:val="ListBullet"/>
      </w:pPr>
      <w:r>
        <w:t>Bestreitet, diese Adresse in EncroChat-Nachrichten kommuniziert zu haben (vgl. Verwertbarkeitsproblem AS 03)</w:t>
      </w:r>
    </w:p>
    <w:p>
      <w:pPr>
        <w:pStyle w:val="ListBullet"/>
      </w:pPr>
      <w:r>
        <w:t>Antrag auf Offenlegung der Chain-Analysis-Methodik (proprietärer Algorithmus Chainalysis — Verteidigung zweifelt an Reproduzierbarkeit)</w:t>
      </w:r>
    </w:p>
    <w:p>
      <w:pPr>
        <w:pStyle w:val="Heading3"/>
      </w:pPr>
      <w:r>
        <w:rPr>
          <w:rFonts w:ascii="Times New Roman" w:hAnsi="Times New Roman"/>
        </w:rPr>
        <w:t>4.2 Drebenstedt (RA Steinbach)</w:t>
      </w:r>
    </w:p>
    <w:p>
      <w:pPr>
        <w:pStyle w:val="ListBullet"/>
      </w:pPr>
      <w:r>
        <w:t>Wallet "bc1q...ldrive22" durch RA Steinbach bestritten — Zuordnung nur indirekt über SkyECC (vgl. EncroChat-Verwertbarkeit)</w:t>
      </w:r>
    </w:p>
    <w:p>
      <w:pPr>
        <w:pStyle w:val="ListBullet"/>
      </w:pPr>
      <w:r>
        <w:t>BTC-Saldo von 68.000 EUR wird als rechtmaessige Erwerbe aus selbständiger Tätigkeit erklärt</w:t>
      </w:r>
    </w:p>
    <w:p>
      <w:pPr>
        <w:pStyle w:val="Heading3"/>
      </w:pPr>
      <w:r>
        <w:rPr>
          <w:rFonts w:ascii="Times New Roman" w:hAnsi="Times New Roman"/>
        </w:rPr>
        <w:t>4.3 Einziehungs-Gegenargument</w:t>
      </w:r>
    </w:p>
    <w:p>
      <w:pPr>
        <w:jc w:val="left"/>
      </w:pPr>
      <w:r>
        <w:t>Sollte die EncroChat/SkyECC-Verwertbarkeit (AS 03) scheitern, fehlt die Grundlage für die Wallet-Zuordnung. Die Einziehung nach § 73 StGB setzt den Tatverdacht voraus.</w:t>
      </w:r>
    </w:p>
    <w:p>
      <w:pPr>
        <w:jc w:val="left"/>
      </w:pPr>
      <w:r>
        <w:rPr>
          <w:b/>
        </w:rPr>
        <w:t>Quellen:</w:t>
      </w:r>
      <w:r>
        <w:t xml:space="preserve"> § 261 StGB, § 73 StGB, § 76a StGB (dejure.org); § 111b StPO (dejure.org); § 10 ZAG (dejure.org); BGH 1 StR 432/21 (Kryptowaesche); FATF Guidance on Virtual Assets 2021.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