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09 — Beweis-Antragsskizzen und Konfrontationsstrategie</w:t>
      </w:r>
    </w:p>
    <w:p>
      <w:pPr>
        <w:jc w:val="left"/>
      </w:pPr>
      <w:r>
        <w:rPr>
          <w:b/>
        </w:rPr>
        <w:t>Verfahren:</w:t>
      </w:r>
      <w:r>
        <w:t xml:space="preserve"> StA Stuttgart 4 Js 18.422/26</w:t>
      </w:r>
    </w:p>
    <w:p>
      <w:pPr>
        <w:jc w:val="left"/>
      </w:pPr>
      <w:r>
        <w:rPr>
          <w:b/>
        </w:rPr>
        <w:t>Hauptverhandlung:</w:t>
      </w:r>
      <w:r>
        <w:t xml:space="preserve"> LG Stuttgart 4. Grosse Strafkammer, KLs 4 Js 18.422/26</w:t>
      </w:r>
    </w:p>
    <w:p>
      <w:pPr>
        <w:jc w:val="left"/>
      </w:pPr>
      <w:r>
        <w:rPr>
          <w:b/>
        </w:rPr>
        <w:t>Bearbeitung:</w:t>
      </w:r>
      <w:r>
        <w:t xml:space="preserve"> Alle Verteidiger (koordiniert, eigene Strategien)</w:t>
      </w:r>
    </w:p>
    <w:p>
      <w:pPr>
        <w:jc w:val="left"/>
      </w:pPr>
      <w:r>
        <w:rPr>
          <w:b/>
        </w:rPr>
        <w:t>Stand:</w:t>
      </w:r>
      <w:r>
        <w:t xml:space="preserve"> 30.01.2026</w:t>
      </w:r>
    </w:p>
    <w:p/>
    <w:p>
      <w:pPr>
        <w:pStyle w:val="Heading2"/>
      </w:pPr>
      <w:r>
        <w:rPr>
          <w:rFonts w:ascii="Times New Roman" w:hAnsi="Times New Roman"/>
        </w:rPr>
        <w:t>1. Übersicht geplanter Beweisanträge</w:t>
      </w:r>
    </w:p>
    <w:p>
      <w:pPr>
        <w:pStyle w:val="Heading3"/>
      </w:pPr>
      <w:r>
        <w:rPr>
          <w:rFonts w:ascii="Times New Roman" w:hAnsi="Times New Roman"/>
        </w:rPr>
        <w:t>Tabelle: Beweisantrag-Matrix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Antragsteller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Ziel des Antrags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Beweismittel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Schorlemmer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Unverwertbarkeit EncroChat/SkyECC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Sachverständiger IT-Forensik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2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Schorlemmer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Gegengutachten DNA SP-001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Sachverständiger DNA-Analyse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4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Steinbach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Gegengutachten Videoauswertung Drebenstedt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Sachverständiger Bildanalyse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4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Mohnsen-Stoeber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Sachverständiger Aussagepsychologie (Krasniqi-Glaubhaftigkeit)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Prof. Dr. Sternkopf (bereits beauftragt)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2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Alle Verteidiger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Vorlage EEA-Dokumente (EncroChat)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Urkunden, Rechtshilfeunterlg.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2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Krämer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Vorlage Interpol-Akte Iordache vollständig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Behoedenanfrage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2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Schorlemmer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Vernehmung Dolmetscherin (TKUe-Übersetzung Qualität)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Zeuge Ryszkowiak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2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Steinbach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Einholung Auskunft zum Chain-Analysis-Algorithmus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Chainalysis-Unterlagen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2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BA-09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Mohnsen-Stoeber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Befunderhebung Krasniqi-Schwangerschaft und Haftbedingungen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Amtsarzt JVA Schwäbisch Gmuend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§ 244 Abs. 2 StPO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Detailskizze Beweisantrag BA-01 — EncroChat-Unverwertbarkeit</w:t>
      </w:r>
    </w:p>
    <w:p>
      <w:pPr>
        <w:jc w:val="left"/>
      </w:pPr>
      <w:r>
        <w:rPr>
          <w:i/>
        </w:rPr>
        <w:t>Ausführlicher Entwurf in: docx/beweisantrag_encrochat_unverwertbarkeit.docx</w:t>
      </w:r>
    </w:p>
    <w:p>
      <w:pPr>
        <w:jc w:val="left"/>
      </w:pPr>
      <w:r>
        <w:rPr>
          <w:b/>
        </w:rPr>
        <w:t>Antragssteller:</w:t>
      </w:r>
      <w:r>
        <w:t xml:space="preserve"> RA Dr. Magnus Schorlemmer (für Korbiel), unterstützt von RA Steinbach und RA Krämer</w:t>
      </w:r>
    </w:p>
    <w:p>
      <w:pPr>
        <w:jc w:val="left"/>
      </w:pPr>
      <w:r>
        <w:rPr>
          <w:b/>
        </w:rPr>
        <w:t>Beweisbehauptung:</w:t>
      </w:r>
    </w:p>
    <w:p>
      <w:pPr>
        <w:jc w:val="left"/>
      </w:pPr>
      <w:r>
        <w:t>Die im Verfahren als "SkyECC-Nachrichten des Nutzers MK_Koffer" bezeichneten Daten sind nicht dem Beschuldigten Korbiel zuzuordnen und darüber hinaus wegen des fehlenden EEA-Nachweises unverwertbar.</w:t>
      </w:r>
    </w:p>
    <w:p>
      <w:pPr>
        <w:jc w:val="left"/>
      </w:pPr>
      <w:r>
        <w:rPr>
          <w:b/>
        </w:rPr>
        <w:t>Beweismittel:</w:t>
      </w:r>
    </w:p>
    <w:p>
      <w:pPr>
        <w:pStyle w:val="ListNumber"/>
      </w:pPr>
      <w:r>
        <w:t>Sachverständiger Dipl.-Inf. Dr. Christoph Eckert (Fraunhofer AISEC), zu beauftragen mit Gutachten: Kann ohne IMEI-Nachweis und ohne Herausgabe des vollständigen EEA-Vorgangs die Nutzeridentität "MK_Koffer" = Korbiel sicher zugeordnet werden?</w:t>
      </w:r>
    </w:p>
    <w:p>
      <w:pPr>
        <w:pStyle w:val="ListNumber"/>
      </w:pPr>
      <w:r>
        <w:t>Vorlage der vollständigen EEA vom 13.04.2020 (original französisch) nebst Begleitunterlagen (§ 91a IRG)</w:t>
      </w:r>
    </w:p>
    <w:p>
      <w:pPr>
        <w:jc w:val="left"/>
      </w:pPr>
      <w:r>
        <w:rPr>
          <w:b/>
        </w:rPr>
        <w:t>Hilfsantrag:</w:t>
      </w:r>
      <w:r>
        <w:t xml:space="preserve"> Wenn das Gericht die Verwertbarkeit bejaht, Einraeumaung einer Erwiderungsfrist von 4 Wochen für die Verteidigung.</w:t>
      </w:r>
    </w:p>
    <w:p/>
    <w:p>
      <w:pPr>
        <w:pStyle w:val="Heading2"/>
      </w:pPr>
      <w:r>
        <w:rPr>
          <w:rFonts w:ascii="Times New Roman" w:hAnsi="Times New Roman"/>
        </w:rPr>
        <w:t>3. Detailskizze Beweisantrag BA-02 — Gegengutachten DNA</w:t>
      </w:r>
    </w:p>
    <w:p>
      <w:pPr>
        <w:jc w:val="left"/>
      </w:pPr>
      <w:r>
        <w:rPr>
          <w:b/>
        </w:rPr>
        <w:t>Antragssteller:</w:t>
      </w:r>
      <w:r>
        <w:t xml:space="preserve"> RA Dr. Magnus Schorlemmer</w:t>
      </w:r>
    </w:p>
    <w:p>
      <w:pPr>
        <w:jc w:val="left"/>
      </w:pPr>
      <w:r>
        <w:rPr>
          <w:b/>
        </w:rPr>
        <w:t>Beweisbehauptung:</w:t>
      </w:r>
    </w:p>
    <w:p>
      <w:pPr>
        <w:jc w:val="left"/>
      </w:pPr>
      <w:r>
        <w:t>Die DNA-Spur DNA-001 (Brecheisen SP-001) wurde nicht in einem standardkonformen Verfahren gesichert und ausgewertet; die Trefferquote 1:19 Mrd. ist auf Grundlage der vorgelegten Dokumentation nicht nachvollziehbar.</w:t>
      </w:r>
    </w:p>
    <w:p>
      <w:pPr>
        <w:jc w:val="left"/>
      </w:pPr>
      <w:r>
        <w:rPr>
          <w:b/>
        </w:rPr>
        <w:t>Beweismittel:</w:t>
      </w:r>
      <w:r>
        <w:t xml:space="preserve"> Sachverständiger Prof. Dr. Tobias Haug (Institut für Rechtsmedizin Universitätsklinikum Tuebingen), zu beauftragen mit Kontrolle der Sicherungskette (chain of custody) und eigener DNA-Probenanalyse aus Rückstellproben.</w:t>
      </w:r>
    </w:p>
    <w:p>
      <w:pPr>
        <w:jc w:val="left"/>
      </w:pPr>
      <w:r>
        <w:rPr>
          <w:b/>
        </w:rPr>
        <w:t>Rechtsgrundlage:</w:t>
      </w:r>
      <w:r>
        <w:t xml:space="preserve"> § 244 Abs. 4 S. 2 StPO: Ein Gegengutachten kann nicht abgelehnt werden, wenn "Umstände dargetan werden, die Zweifel an der Richtigkeit des Gutachtens begründen können."</w:t>
      </w:r>
    </w:p>
    <w:p/>
    <w:p>
      <w:pPr>
        <w:pStyle w:val="Heading2"/>
      </w:pPr>
      <w:r>
        <w:rPr>
          <w:rFonts w:ascii="Times New Roman" w:hAnsi="Times New Roman"/>
        </w:rPr>
        <w:t>4. Konfrontationsstrategie</w:t>
      </w:r>
    </w:p>
    <w:p>
      <w:pPr>
        <w:pStyle w:val="Heading3"/>
      </w:pPr>
      <w:r>
        <w:rPr>
          <w:rFonts w:ascii="Times New Roman" w:hAnsi="Times New Roman"/>
        </w:rPr>
        <w:t>4.1 Zeuge Beate Goldhofer-Egenter (Z-01) — Identifizierung Korbiel</w:t>
      </w:r>
    </w:p>
    <w:p>
      <w:pPr>
        <w:jc w:val="left"/>
      </w:pPr>
      <w:r>
        <w:t>Goldhofer-Egenter hat Korbiel in einer Gegenüberstellung (Lineupverfahren) am 05.11.2025 identifiziert. Die Identifizierung war jedoch nach Verteidigungsinterpretation nicht vollständig blind:</w:t>
      </w:r>
    </w:p>
    <w:p>
      <w:pPr>
        <w:pStyle w:val="ListBullet"/>
      </w:pPr>
      <w:r>
        <w:t>Die Gegenüberstellung fand in einem kleinen Raum statt</w:t>
      </w:r>
    </w:p>
    <w:p>
      <w:pPr>
        <w:pStyle w:val="ListBullet"/>
      </w:pPr>
      <w:r>
        <w:t>Korbiel war als einziger nicht-deutschsprachig erkennbar (hat auf Polnisch gesprochen)</w:t>
      </w:r>
    </w:p>
    <w:p>
      <w:pPr>
        <w:pStyle w:val="ListBullet"/>
      </w:pPr>
      <w:r>
        <w:t>Der Hinweis "Die Person kann, aber muss nicht, im Lineup sein" war nicht erteilt worden</w:t>
      </w:r>
    </w:p>
    <w:p>
      <w:pPr>
        <w:jc w:val="left"/>
      </w:pPr>
      <w:r>
        <w:rPr>
          <w:b/>
        </w:rPr>
        <w:t>Konfrontationsantrag:</w:t>
      </w:r>
      <w:r>
        <w:t xml:space="preserve"> Einholung eines Sachverstaendigengutachtens zu Lineup-Validität (Prof. Dr. Sternkopf, SV-02 — der bereits für Krasniqi-Glaubhaftigkeit beauftragt ist).</w:t>
      </w:r>
    </w:p>
    <w:p>
      <w:pPr>
        <w:pStyle w:val="Heading3"/>
      </w:pPr>
      <w:r>
        <w:rPr>
          <w:rFonts w:ascii="Times New Roman" w:hAnsi="Times New Roman"/>
        </w:rPr>
        <w:t>4.2 Zeuge Joerg Zimmermann (Z-06) — Videoauswertung</w:t>
      </w:r>
    </w:p>
    <w:p>
      <w:pPr>
        <w:jc w:val="left"/>
      </w:pPr>
      <w:r>
        <w:t>Zimmermann identifiziert Krasniqi auf dem Cafe-Westermann-Video als "die Frau, die schon länger davor stand". Dieser Zeuge soll in der HV zur Sicherheit seiner Wahrnehmung befragt werden:</w:t>
      </w:r>
    </w:p>
    <w:p>
      <w:pPr>
        <w:pStyle w:val="ListBullet"/>
      </w:pPr>
      <w:r>
        <w:t>Wie lange hat er die Frau beobachtet?</w:t>
      </w:r>
    </w:p>
    <w:p>
      <w:pPr>
        <w:pStyle w:val="ListBullet"/>
      </w:pPr>
      <w:r>
        <w:t>Sah er sie tun, was Krasniqi bestreitet (Fotografieren des Juweliers)?</w:t>
      </w:r>
    </w:p>
    <w:p>
      <w:pPr>
        <w:pStyle w:val="ListBullet"/>
      </w:pPr>
      <w:r>
        <w:t>Kannte er Krasniqi vorher?</w:t>
      </w:r>
    </w:p>
    <w:p>
      <w:pPr>
        <w:pStyle w:val="Heading3"/>
      </w:pPr>
      <w:r>
        <w:rPr>
          <w:rFonts w:ascii="Times New Roman" w:hAnsi="Times New Roman"/>
        </w:rPr>
        <w:t>4.3 KHK Felber (Z-08) — EG-Leiter</w:t>
      </w:r>
    </w:p>
    <w:p>
      <w:pPr>
        <w:jc w:val="left"/>
      </w:pPr>
      <w:r>
        <w:t>KHK Felber soll zu den Gesamtergebnissen der Ermittlung befragt werden, insbesondere:</w:t>
      </w:r>
    </w:p>
    <w:p>
      <w:pPr>
        <w:pStyle w:val="ListBullet"/>
      </w:pPr>
      <w:r>
        <w:t>Ob die Observation (AS 05) allein oder in Kombination mit TKUe den Tatverdacht gegen Korbiel begründete</w:t>
      </w:r>
    </w:p>
    <w:p>
      <w:pPr>
        <w:pStyle w:val="ListBullet"/>
      </w:pPr>
      <w:r>
        <w:t>Ob der Sachverhalt Drebenstedts Festnahme am 22.10.2025 in Bad Cannstatt vollständig dokumentiert ist</w:t>
      </w:r>
    </w:p>
    <w:p>
      <w:pPr>
        <w:pStyle w:val="ListBullet"/>
      </w:pPr>
      <w:r>
        <w:t>Ob weitere Tatverdaechtige (Iordache-Komplizen) noch ermittelt werden</w:t>
      </w:r>
    </w:p>
    <w:p/>
    <w:p>
      <w:pPr>
        <w:pStyle w:val="Heading2"/>
      </w:pPr>
      <w:r>
        <w:rPr>
          <w:rFonts w:ascii="Times New Roman" w:hAnsi="Times New Roman"/>
        </w:rPr>
        <w:t>5. Zeitplan Hauptverhandlung (vorläufig)</w:t>
      </w:r>
    </w:p>
    <w:p>
      <w:pPr>
        <w:jc w:val="left"/>
      </w:pPr>
      <w:r>
        <w:t>Die Hauptverhandlung ist noch nicht terminiert (Stand 30.01.2026). Die 4. Grosse Strafkammer LG Stuttgart hat signalisiert, für KLs 4 Js 18.422/26 ab Mai 2026 Kapazitäten zu reservieren.</w:t>
      </w:r>
    </w:p>
    <w:p>
      <w:pPr>
        <w:jc w:val="left"/>
      </w:pPr>
      <w:r>
        <w:rPr>
          <w:b/>
        </w:rPr>
        <w:t>Schematischer Ablauf (Prognose 22 Verhandlungstage):</w:t>
      </w:r>
    </w:p>
    <w:p>
      <w:pPr>
        <w:pStyle w:val="ListBullet"/>
      </w:pPr>
      <w:r>
        <w:t>HVT 1–2: Eroefffnung, Anklageschrift, formelle Beweisaufnahme</w:t>
      </w:r>
    </w:p>
    <w:p>
      <w:pPr>
        <w:pStyle w:val="ListBullet"/>
      </w:pPr>
      <w:r>
        <w:t>HVT 3–5: Vernehmung Geschädigter (Z-01, Z-02, Z-03)</w:t>
      </w:r>
    </w:p>
    <w:p>
      <w:pPr>
        <w:pStyle w:val="ListBullet"/>
      </w:pPr>
      <w:r>
        <w:t>HVT 6–8: Polizeiliche Zeugen, Sachverständige TKUe/FZA</w:t>
      </w:r>
    </w:p>
    <w:p>
      <w:pPr>
        <w:pStyle w:val="ListBullet"/>
      </w:pPr>
      <w:r>
        <w:t>HVT 9–11: Sachverständige DNA, Videoanalyse; Beweisanträge BA-01 bis BA-03</w:t>
      </w:r>
    </w:p>
    <w:p>
      <w:pPr>
        <w:pStyle w:val="ListBullet"/>
      </w:pPr>
      <w:r>
        <w:t>HVT 12–14: Sachverständige Aussagepsychologie (SV-02), Konfrontation Krasniqi</w:t>
      </w:r>
    </w:p>
    <w:p>
      <w:pPr>
        <w:pStyle w:val="ListBullet"/>
      </w:pPr>
      <w:r>
        <w:t>HVT 15–17: Verständigungsgespräche, § 257c StPO (Krasniqi, vgl. AS 10)</w:t>
      </w:r>
    </w:p>
    <w:p>
      <w:pPr>
        <w:pStyle w:val="ListBullet"/>
      </w:pPr>
      <w:r>
        <w:t>HVT 18–20: Plädoyers StA und Nebenklage</w:t>
      </w:r>
    </w:p>
    <w:p>
      <w:pPr>
        <w:pStyle w:val="ListBullet"/>
      </w:pPr>
      <w:r>
        <w:t>HVT 21–22: Plädoyers Verteidigung, Urteil</w:t>
      </w:r>
    </w:p>
    <w:p>
      <w:pPr>
        <w:jc w:val="left"/>
      </w:pPr>
      <w:r>
        <w:rPr>
          <w:b/>
        </w:rPr>
        <w:t>Quellen:</w:t>
      </w:r>
      <w:r>
        <w:t xml:space="preserve"> § 244 StPO, § 244 Abs. 4 StPO (dejure.org); BGH NStZ 2020, 342 (Gegengutachten); BGH NStZ 2015, 294 (Lineup-Validität); BGH 5 StR 457/21 (EncroChat-Verwertbarkeit).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