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12 — Internationale Rechtshilfe: Polen (Korbiel-Vorstrafen) und Rumänien (Iordache/Interpol)</w:t>
      </w:r>
    </w:p>
    <w:p>
      <w:pPr>
        <w:jc w:val="left"/>
      </w:pPr>
      <w:r>
        <w:rPr>
          <w:b/>
        </w:rPr>
        <w:t>Verfahren:</w:t>
      </w:r>
      <w:r>
        <w:t xml:space="preserve"> StA Stuttgart 4 Js 18.422/26</w:t>
      </w:r>
    </w:p>
    <w:p>
      <w:pPr>
        <w:jc w:val="left"/>
      </w:pPr>
      <w:r>
        <w:rPr>
          <w:b/>
        </w:rPr>
        <w:t>Bearbeitung:</w:t>
      </w:r>
      <w:r>
        <w:t xml:space="preserve"> StA Stuttgart / RA Dr. Schorlemmer (Korbiel) / RA Krämer (Iordache)</w:t>
      </w:r>
    </w:p>
    <w:p>
      <w:pPr>
        <w:jc w:val="left"/>
      </w:pPr>
      <w:r>
        <w:rPr>
          <w:b/>
        </w:rPr>
        <w:t>Rechtsgrundlagen:</w:t>
      </w:r>
      <w:r>
        <w:t xml:space="preserve"> § 59 IRG; EuRhUeB (Europäisches Rechtshilfeubereinkommen); RiVASt (Richtlinien Verkehr mit dem Ausland in Strafsachen)</w:t>
      </w:r>
    </w:p>
    <w:p>
      <w:pPr>
        <w:jc w:val="left"/>
      </w:pPr>
      <w:r>
        <w:rPr>
          <w:b/>
        </w:rPr>
        <w:t>Stand:</w:t>
      </w:r>
      <w:r>
        <w:t xml:space="preserve"> 05.02.2026</w:t>
      </w:r>
    </w:p>
    <w:p/>
    <w:p>
      <w:pPr>
        <w:pStyle w:val="Heading2"/>
      </w:pPr>
      <w:r>
        <w:rPr>
          <w:rFonts w:ascii="Times New Roman" w:hAnsi="Times New Roman"/>
        </w:rPr>
        <w:t>1. Rechtshilfeersuchen an Polen (Korbiel-Vorstrafen Krakau)</w:t>
      </w:r>
    </w:p>
    <w:p>
      <w:pPr>
        <w:pStyle w:val="Heading3"/>
      </w:pPr>
      <w:r>
        <w:rPr>
          <w:rFonts w:ascii="Times New Roman" w:hAnsi="Times New Roman"/>
        </w:rPr>
        <w:t>1.1 Veranlassung</w:t>
      </w:r>
    </w:p>
    <w:p>
      <w:pPr>
        <w:jc w:val="left"/>
      </w:pPr>
      <w:r>
        <w:t>Die Staatsanwaltschaft Stuttgart hat am 28.10.2025 ein Rechtshilfeersuchen an die Generalstaatsanwaltschaft Krakau (Prokuratura Okregowa w Krakowie) gemäß Art. 3 EuRhUeB und dem bilateralen Rechtshilfeabkommen Deutschland-Polen (BGBl 2004 II, 898) gestellt.</w:t>
      </w:r>
    </w:p>
    <w:p>
      <w:pPr>
        <w:jc w:val="left"/>
      </w:pPr>
      <w:r>
        <w:rPr>
          <w:b/>
        </w:rPr>
        <w:t>Ziel des Ersuchens:</w:t>
      </w:r>
    </w:p>
    <w:p>
      <w:pPr>
        <w:pStyle w:val="ListBullet"/>
      </w:pPr>
      <w:r>
        <w:t>Mitteilung der Vorstrafen des Mateusz Korbiel, geb. 04.03.1997, polnischer Staatsangehöriger, zuletzt wohnhaft: ul. Lipowa 14/3, 30-420 Krakow</w:t>
      </w:r>
    </w:p>
    <w:p>
      <w:pPr>
        <w:pStyle w:val="ListBullet"/>
      </w:pPr>
      <w:r>
        <w:t>Ermittlung ggf. laufender polnischer Strafverfahren gegen Korbiel</w:t>
      </w:r>
    </w:p>
    <w:p>
      <w:pPr>
        <w:pStyle w:val="ListBullet"/>
      </w:pPr>
      <w:r>
        <w:t>Beibringung von Vollzugsunterlagen (ggf. polnische Haftzeiten)</w:t>
      </w:r>
    </w:p>
    <w:p>
      <w:pPr>
        <w:pStyle w:val="ListBullet"/>
      </w:pPr>
      <w:r>
        <w:t>Information über bekannte Verbindungen Korbiels zu Iordache im polnisch-rumänischen Kontext</w:t>
      </w:r>
    </w:p>
    <w:p>
      <w:pPr>
        <w:jc w:val="left"/>
      </w:pPr>
      <w:r>
        <w:rPr>
          <w:b/>
        </w:rPr>
        <w:t>Aktenzeichen RHE:</w:t>
      </w:r>
      <w:r>
        <w:t xml:space="preserve"> StA Stuttgart RHE-PL 4 Js 18.422/26/001 vom 28.10.2025</w:t>
      </w:r>
    </w:p>
    <w:p>
      <w:pPr>
        <w:pStyle w:val="Heading3"/>
      </w:pPr>
      <w:r>
        <w:rPr>
          <w:rFonts w:ascii="Times New Roman" w:hAnsi="Times New Roman"/>
        </w:rPr>
        <w:t>1.2 Stand des Ersuchens</w:t>
      </w:r>
    </w:p>
    <w:p>
      <w:pPr>
        <w:jc w:val="left"/>
      </w:pPr>
      <w:r>
        <w:t>Eingangsbestätigung von Prokuratura Okregowa Krakau am 15.11.2025 (Az. PO/K/RH-2025-4471).</w:t>
      </w:r>
    </w:p>
    <w:p>
      <w:pPr>
        <w:jc w:val="left"/>
      </w:pPr>
      <w:r>
        <w:rPr>
          <w:b/>
        </w:rPr>
        <w:t>Bisheriger Teilergebnis (Auskunft per Schreiben v. 08.01.2026):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Eintrag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Az. (PL)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Delikt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Urteil / Ergebnis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Vorstrafe 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SR 2/2019/K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Einbruchdiebstahl (Krakau, 2018)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Bewaerungs-Fr. 18 Mon. (SR Krakow 2019)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Vorstrafe 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SR 14/2022/K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Körperverletzung (Krakau, 2021)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Geldstrafe 120 Tagessätze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Laufendes Verfahren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SR 3/2025/K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Betrug (Online, 2024)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Noch offen, kein Haftbefehl</w:t>
            </w:r>
          </w:p>
        </w:tc>
      </w:tr>
    </w:tbl>
    <w:p>
      <w:pPr>
        <w:jc w:val="left"/>
      </w:pPr>
      <w:r>
        <w:rPr>
          <w:b/>
        </w:rPr>
        <w:t>Ausstehendes Ersuchen:</w:t>
      </w:r>
      <w:r>
        <w:t xml:space="preserve"> Vollständige Urteilsausfertigung in SR 2/2019/K (Einbruchdiebstahl) — wichtig für Strafzumessung wegen Vorstrafe. Erwartet bis 28.02.2026.</w:t>
      </w:r>
    </w:p>
    <w:p>
      <w:pPr>
        <w:pStyle w:val="Heading3"/>
      </w:pPr>
      <w:r>
        <w:rPr>
          <w:rFonts w:ascii="Times New Roman" w:hAnsi="Times New Roman"/>
        </w:rPr>
        <w:t>1.3 Relevanz für Strafzumessung</w:t>
      </w:r>
    </w:p>
    <w:p>
      <w:pPr>
        <w:jc w:val="left"/>
      </w:pPr>
      <w:r>
        <w:t>Die Vorstrafe aus 2019 (Einbruchdiebstahl) ist für die Strafzumessung im vorliegenden Verfahren relevant (§ 46 Abs. 2 StGB: "strafrechtliche Vorgeschichte"). Dr. Schorlemmer wird darauf hinwirken, dass die polnische Strafe adäquat gewertet wird und keine unzulässige Doppelverwertung stattfindet (BGH NStZ 2018, 403: Vorstrafen nur eingeschränkt erschwerend).</w:t>
      </w:r>
    </w:p>
    <w:p/>
    <w:p>
      <w:pPr>
        <w:pStyle w:val="Heading2"/>
      </w:pPr>
      <w:r>
        <w:rPr>
          <w:rFonts w:ascii="Times New Roman" w:hAnsi="Times New Roman"/>
        </w:rPr>
        <w:t>2. Rechtshilfeersuchen an Rumänien (Iordache / Interpol Red Notice)</w:t>
      </w:r>
    </w:p>
    <w:p>
      <w:pPr>
        <w:pStyle w:val="Heading3"/>
      </w:pPr>
      <w:r>
        <w:rPr>
          <w:rFonts w:ascii="Times New Roman" w:hAnsi="Times New Roman"/>
        </w:rPr>
        <w:t>2.1 Ausgangslage</w:t>
      </w:r>
    </w:p>
    <w:p>
      <w:pPr>
        <w:jc w:val="left"/>
      </w:pPr>
      <w:r>
        <w:t>Vasile Iordache (geb. 22.04.1984, rumänischer Staatsangehöriger, letzter bekannter Wohnort: Str. Mihai Bravu 14, Sect. 2, Bukarest) ist flüchtig. Er wurde nicht festgenommen.</w:t>
      </w:r>
    </w:p>
    <w:p>
      <w:pPr>
        <w:jc w:val="left"/>
      </w:pPr>
      <w:r>
        <w:rPr>
          <w:b/>
        </w:rPr>
        <w:t>Massnahmen:</w:t>
      </w:r>
    </w:p>
    <w:p>
      <w:pPr>
        <w:pStyle w:val="ListNumber"/>
      </w:pPr>
      <w:r>
        <w:rPr>
          <w:b/>
        </w:rPr>
        <w:t>Interpol Red Notice:</w:t>
      </w:r>
      <w:r>
        <w:t xml:space="preserve"> Beantragt durch BKA am 28.10.2025 (Ref. BKA BW/PL 2025-0088). Interpol Red Notice erteilt am 14.11.2025. Internationale Fahndung aktiv.</w:t>
      </w:r>
    </w:p>
    <w:p>
      <w:pPr>
        <w:pStyle w:val="ListNumber"/>
      </w:pPr>
      <w:r>
        <w:rPr>
          <w:b/>
        </w:rPr>
        <w:t>Europäischer Haftbefehl:</w:t>
      </w:r>
      <w:r>
        <w:t xml:space="preserve"> Erlassen durch AG Stuttgart am 22.10.2025, übermittelt durch JBeh BW an Eurojust für Rumänien (Rn. EAW 2025/STG/0091).</w:t>
      </w:r>
    </w:p>
    <w:p>
      <w:pPr>
        <w:pStyle w:val="ListNumber"/>
      </w:pPr>
      <w:r>
        <w:rPr>
          <w:b/>
        </w:rPr>
        <w:t>Rechtshilfeersuchen Rumänien:</w:t>
      </w:r>
      <w:r>
        <w:t xml:space="preserve"> StA Stuttgart RHE-RO 4 Js 18.422/26/002 vom 30.10.2025, gerichtet an Parchetul de pe langa Tribunalul Bucuresti.</w:t>
      </w:r>
    </w:p>
    <w:p>
      <w:pPr>
        <w:pStyle w:val="Heading3"/>
      </w:pPr>
      <w:r>
        <w:rPr>
          <w:rFonts w:ascii="Times New Roman" w:hAnsi="Times New Roman"/>
        </w:rPr>
        <w:t>2.2 Stand Europäischer Haftbefehl / Auslieferung</w:t>
      </w:r>
    </w:p>
    <w:p>
      <w:pPr>
        <w:jc w:val="left"/>
      </w:pPr>
      <w:r>
        <w:t>Rumänien ist EU-Mitglied und dem Rahmenbeschluss 2002/584/JI (EuHb) unterworfen. Der Europäische Haftbefehl gegen Iordache ist seit 22.10.2025 aktiv.</w:t>
      </w:r>
    </w:p>
    <w:p>
      <w:pPr>
        <w:jc w:val="left"/>
      </w:pPr>
      <w:r>
        <w:rPr>
          <w:b/>
        </w:rPr>
        <w:t>Probleme:</w:t>
      </w:r>
    </w:p>
    <w:p>
      <w:pPr>
        <w:pStyle w:val="ListBullet"/>
      </w:pPr>
      <w:r>
        <w:t>Iordache hielt sich zuletzt in Bukarest auf (VP-Information, Oktober 2024), ist aber seit 18.10.2025 untergetaucht</w:t>
      </w:r>
    </w:p>
    <w:p>
      <w:pPr>
        <w:pStyle w:val="ListBullet"/>
      </w:pPr>
      <w:r>
        <w:t>Wohnungsermittlung in Bukarest: Rumänische Kriminalpolizei (DIICOT) führt Ermittlungen (Aktennr. DIICOT BUC-2025/10234)</w:t>
      </w:r>
    </w:p>
    <w:p>
      <w:pPr>
        <w:pStyle w:val="ListBullet"/>
      </w:pPr>
      <w:r>
        <w:t>Erste Erkundigungen ergaben: Iordache könnte sich in Moldawien oder Serbien aufhalten (ausserhalb EU)</w:t>
      </w:r>
    </w:p>
    <w:p>
      <w:pPr>
        <w:pStyle w:val="ListBullet"/>
      </w:pPr>
      <w:r>
        <w:t>Falls Serbien: Auslieferungsabkommen Deutschland-Serbien (BGBl 1999 II, 617) greift; Rechtshilfeersuchen Serbien vorbereitend</w:t>
      </w:r>
    </w:p>
    <w:p>
      <w:pPr>
        <w:jc w:val="left"/>
      </w:pPr>
      <w:r>
        <w:rPr>
          <w:b/>
        </w:rPr>
        <w:t>Stand Interpol Red Notice:</w:t>
      </w:r>
      <w:r>
        <w:t xml:space="preserve"> Aktiv. Iordache erscheint in Interpol-Datenbank. Zwei Grenzkontrollen in Rumänien (Grenze Ungarn, Oktober 2025) ohne Treffer. Keine Festnahme bisher.</w:t>
      </w:r>
    </w:p>
    <w:p>
      <w:pPr>
        <w:pStyle w:val="Heading3"/>
      </w:pPr>
      <w:r>
        <w:rPr>
          <w:rFonts w:ascii="Times New Roman" w:hAnsi="Times New Roman"/>
        </w:rPr>
        <w:t>2.3 Rechtshilfeinhalte Rumänien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Ziel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Vorstrafen Iordache Rumänien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Teilergebnis: Iordache hat 2 Vorstrafen (Diebstahl 2008, Raub 2014 Bukarest — je 2 bis 4 Jahre)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Wohnungsermittlung Bukarest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Negativ (verlassen)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Konto-/Vermögensermittlung Rumänien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In Bearbeitung (DIICOT)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Verwandtenermittlung (Familie Iordache)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Schwester Luminita Iordache ermittelt in Arad; befraegt, keine ergiebigen Angaben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3. Übersicht RiVASt-Anforderungen</w:t>
      </w:r>
    </w:p>
    <w:p>
      <w:pPr>
        <w:jc w:val="left"/>
      </w:pPr>
      <w:r>
        <w:t>Die Richtlinien für den Verkehr mit dem Ausland in Strafsachen (RiVASt, hrsg. Bundesjustizministerium) gelten für alle Auslandsersuchen:</w:t>
      </w:r>
    </w:p>
    <w:p>
      <w:pPr>
        <w:jc w:val="left"/>
      </w:pPr>
      <w:r>
        <w:rPr>
          <w:b/>
        </w:rPr>
        <w:t>§ 59 IRG (Beglaubigung):</w:t>
      </w:r>
      <w:r>
        <w:t xml:space="preserve"> Alle Ersuchen sind mit Beglaubigung des Urkundsbeamten zu versehen.</w:t>
      </w:r>
    </w:p>
    <w:p>
      <w:pPr>
        <w:jc w:val="left"/>
      </w:pPr>
      <w:r>
        <w:rPr>
          <w:b/>
        </w:rPr>
        <w:t>Zweisprachigkeit:</w:t>
      </w:r>
      <w:r>
        <w:t xml:space="preserve"> Ersuchen an Polen und Rumänien gehen in Deutsch + Übersetzung (Englisch als Verkehrssprache im europ. Rechtsverkehr; alternativ PL/RO).</w:t>
      </w:r>
    </w:p>
    <w:p>
      <w:pPr>
        <w:jc w:val="left"/>
      </w:pPr>
      <w:r>
        <w:rPr>
          <w:b/>
        </w:rPr>
        <w:t>Antwortfristen:</w:t>
      </w:r>
      <w:r>
        <w:t xml:space="preserve"> Keine bindenden Fristen im EuRhUeB; StA Stuttgart hat Erinnerungsschreiben für Poland-Ersuchen zum 15.02.2026 angekündigt.</w:t>
      </w:r>
    </w:p>
    <w:p/>
    <w:p>
      <w:pPr>
        <w:pStyle w:val="Heading2"/>
      </w:pPr>
      <w:r>
        <w:rPr>
          <w:rFonts w:ascii="Times New Roman" w:hAnsi="Times New Roman"/>
        </w:rPr>
        <w:t>4. Bedeutung für die Hauptverhandlung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Sachverhalt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Bedeutung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Korbiel-Vorstrafe Einbruch 2019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Straferschwerend (§ 46 Abs. 2 StGB); Verteidigung bemuht Abstand (7 Jahre)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Iordache-Vorstrafen (Raub 2014)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Straferschwerend; zeigt Bandenmuster; für Verteidigung: Iordache als "Hauptverantwortlicher" darzustellen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Iordache: nicht gefasst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Schwierigkeit: Prozess kann ohne Iordache stattfinden; Teilverfahrenstrennung möglich</w:t>
            </w:r>
          </w:p>
        </w:tc>
      </w:tr>
    </w:tbl>
    <w:p>
      <w:pPr>
        <w:jc w:val="left"/>
      </w:pPr>
      <w:r>
        <w:rPr>
          <w:b/>
        </w:rPr>
        <w:t>Quellen:</w:t>
      </w:r>
      <w:r>
        <w:t xml:space="preserve"> EuRhUeB (BGBl 1976 II, 1799); RL 2002/584/JI (Europäischer Haftbefehl); § 59 IRG (dejure.org); RiVASt 2021 (Bundesministerium der Justiz); BGH NStZ 2018, 403 (Vorstrafen Strafzumessung); Interpol-Statuten Art. 87 (Red Notice).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