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14 — Nebenklage und Adhäsionsverfahren § 403 StPO</w:t>
      </w:r>
    </w:p>
    <w:p>
      <w:pPr>
        <w:jc w:val="left"/>
      </w:pPr>
      <w:r>
        <w:rPr>
          <w:b/>
        </w:rPr>
        <w:t>Verfahren:</w:t>
      </w:r>
      <w:r>
        <w:t xml:space="preserve"> StA Stuttgart 4 Js 18.422/26</w:t>
      </w:r>
    </w:p>
    <w:p>
      <w:pPr>
        <w:jc w:val="left"/>
      </w:pPr>
      <w:r>
        <w:rPr>
          <w:b/>
        </w:rPr>
        <w:t>Nebenkläger:</w:t>
      </w:r>
      <w:r>
        <w:t xml:space="preserve"> 1. Beate Goldhofer-Egenter, 2. Selma Aydin</w:t>
      </w:r>
    </w:p>
    <w:p>
      <w:pPr>
        <w:jc w:val="left"/>
      </w:pPr>
      <w:r>
        <w:rPr>
          <w:b/>
        </w:rPr>
        <w:t>Nebenklagevertreterin:</w:t>
      </w:r>
      <w:r>
        <w:t xml:space="preserve"> RAin Carola Brandes-Weiss, Stuttgart</w:t>
      </w:r>
    </w:p>
    <w:p>
      <w:pPr>
        <w:jc w:val="left"/>
      </w:pPr>
      <w:r>
        <w:rPr>
          <w:b/>
        </w:rPr>
        <w:t>Stand:</w:t>
      </w:r>
      <w:r>
        <w:t xml:space="preserve"> 07.02.2026</w:t>
      </w:r>
    </w:p>
    <w:p/>
    <w:p>
      <w:pPr>
        <w:pStyle w:val="Heading2"/>
      </w:pPr>
      <w:r>
        <w:rPr>
          <w:rFonts w:ascii="Times New Roman" w:hAnsi="Times New Roman"/>
        </w:rPr>
        <w:t>1. Nebenklageberechtigung</w:t>
      </w:r>
    </w:p>
    <w:p>
      <w:pPr>
        <w:pStyle w:val="Heading3"/>
      </w:pPr>
      <w:r>
        <w:rPr>
          <w:rFonts w:ascii="Times New Roman" w:hAnsi="Times New Roman"/>
        </w:rPr>
        <w:t>1.1 Beate Goldhofer-Egenter</w:t>
      </w:r>
    </w:p>
    <w:p>
      <w:pPr>
        <w:jc w:val="left"/>
      </w:pPr>
      <w:r>
        <w:t>Beate Goldhofer-Egenter (geb. 1963, Inhaberin Familienjuwelier Goldhofer-Egenter) ist Verletzte i.S.d. § 395 Abs. 1 Nr. 1 StPO (Raub gem. § 249 StGB ist aufgelistetes Delikt). Sie hat am 04.11.2025 Anschluss als Nebenklaegeerin erklärt (§ 396 Abs. 1 StPO). Das AG Stuttgart hat die Nebenklage zugelassen.</w:t>
      </w:r>
    </w:p>
    <w:p>
      <w:pPr>
        <w:jc w:val="left"/>
      </w:pPr>
      <w:r>
        <w:rPr>
          <w:b/>
        </w:rPr>
        <w:t>Verletzungsfolgen:</w:t>
      </w:r>
    </w:p>
    <w:p>
      <w:pPr>
        <w:pStyle w:val="ListBullet"/>
      </w:pPr>
      <w:r>
        <w:t>Schädelprellung (Grad II), Krankenhausaufenthalt LKH Stuttgart 18.–21.10.2025</w:t>
      </w:r>
    </w:p>
    <w:p>
      <w:pPr>
        <w:pStyle w:val="ListBullet"/>
      </w:pPr>
      <w:r>
        <w:t>Persistierende Kopfschmerzen, arbeitungsunfaehig bis 14.11.2025</w:t>
      </w:r>
    </w:p>
    <w:p>
      <w:pPr>
        <w:pStyle w:val="ListBullet"/>
      </w:pPr>
      <w:r>
        <w:t>Psychologische Begleitung wegen Traumafolgereaktion (PTBS-Screening positiv, Dr. Hofmann, Stuttgart, 08.11.2025)</w:t>
      </w:r>
    </w:p>
    <w:p>
      <w:pPr>
        <w:pStyle w:val="ListBullet"/>
      </w:pPr>
      <w:r>
        <w:t>Sachschaden: Beschädigte Schaufensterscheibe, Tresenanlage, Vitrinenrahmen (Versicherungsschaden ca. 48.000 EUR)</w:t>
      </w:r>
    </w:p>
    <w:p>
      <w:pPr>
        <w:pStyle w:val="Heading3"/>
      </w:pPr>
      <w:r>
        <w:rPr>
          <w:rFonts w:ascii="Times New Roman" w:hAnsi="Times New Roman"/>
        </w:rPr>
        <w:t>1.2 Selma Aydin</w:t>
      </w:r>
    </w:p>
    <w:p>
      <w:pPr>
        <w:jc w:val="left"/>
      </w:pPr>
      <w:r>
        <w:t>Selma Aydin (geb. 1987, Verkäuferin bei Goldhofer-Egenter seit 2018) ist ebenfalls Verletzte (§ 395 Abs. 1 Nr. 1 StPO). Nebenklage zugelassen.</w:t>
      </w:r>
    </w:p>
    <w:p>
      <w:pPr>
        <w:jc w:val="left"/>
      </w:pPr>
      <w:r>
        <w:rPr>
          <w:b/>
        </w:rPr>
        <w:t>Verletzungsfolgen:</w:t>
      </w:r>
    </w:p>
    <w:p>
      <w:pPr>
        <w:pStyle w:val="ListBullet"/>
      </w:pPr>
      <w:r>
        <w:t>HWS-Schleudertrauma (Grad II), Behandlung Orthopädie Dr. Kessler, Stuttgart</w:t>
      </w:r>
    </w:p>
    <w:p>
      <w:pPr>
        <w:pStyle w:val="ListBullet"/>
      </w:pPr>
      <w:r>
        <w:t>Chronische Nackenschmerzen, Physiotherapie 3x/Woche (laufend)</w:t>
      </w:r>
    </w:p>
    <w:p>
      <w:pPr>
        <w:pStyle w:val="ListBullet"/>
      </w:pPr>
      <w:r>
        <w:rPr>
          <w:b/>
        </w:rPr>
        <w:t>PTBS</w:t>
      </w:r>
      <w:r>
        <w:t xml:space="preserve"> (Post-traumatische Belastungsstörung): Diagnose Dr. Ilse Greiner, Psychologin, 15.11.2025; Krisenintervention, Behandlung läuft</w:t>
      </w:r>
    </w:p>
    <w:p>
      <w:pPr>
        <w:pStyle w:val="ListBullet"/>
      </w:pPr>
      <w:r>
        <w:t>Arbeitsunfähig seit 18.10.2025, vorauss. bis Ende Marz 2026</w:t>
      </w:r>
    </w:p>
    <w:p>
      <w:pPr>
        <w:pStyle w:val="ListBullet"/>
      </w:pPr>
      <w:r>
        <w:t>Berufliche Folgen: Aydins bisheriger Nebenjob (Goldschmied-Kurs) derzeit nicht möglich</w:t>
      </w:r>
    </w:p>
    <w:p/>
    <w:p>
      <w:pPr>
        <w:pStyle w:val="Heading2"/>
      </w:pPr>
      <w:r>
        <w:rPr>
          <w:rFonts w:ascii="Times New Roman" w:hAnsi="Times New Roman"/>
        </w:rPr>
        <w:t>2. Adhäsionsverfahren § 403 StPO</w:t>
      </w:r>
    </w:p>
    <w:p>
      <w:pPr>
        <w:pStyle w:val="Heading3"/>
      </w:pPr>
      <w:r>
        <w:rPr>
          <w:rFonts w:ascii="Times New Roman" w:hAnsi="Times New Roman"/>
        </w:rPr>
        <w:t>2.1 Rechtliche Grundlage</w:t>
      </w:r>
    </w:p>
    <w:p>
      <w:pPr>
        <w:jc w:val="left"/>
      </w:pPr>
      <w:r>
        <w:t>§ 403 StPO erlaubt dem Verletzten, vermogensrechtliche Anspruche (Schadensersatz, Schmerzensgeld) im Strafverfahren geltend zu machen (sog. Adhäsionsklage). Das Gericht (LG Stuttgart) entscheidet gleichzeitig mit dem Strafurteil uber den Zivilantrag.</w:t>
      </w:r>
    </w:p>
    <w:p>
      <w:pPr>
        <w:jc w:val="left"/>
      </w:pPr>
      <w:r>
        <w:rPr>
          <w:b/>
        </w:rPr>
        <w:t>Vorteile:</w:t>
      </w:r>
      <w:r>
        <w:t xml:space="preserve"> Keine separate Zivilklage notwendig; geringere Kosten; Sachverhalt ohnehin Gegenstand des Strafverfahrens.</w:t>
      </w:r>
    </w:p>
    <w:p>
      <w:pPr>
        <w:pStyle w:val="Heading3"/>
      </w:pPr>
      <w:r>
        <w:rPr>
          <w:rFonts w:ascii="Times New Roman" w:hAnsi="Times New Roman"/>
        </w:rPr>
        <w:t>2.2 Adhäsionsantrag Goldhofer-Egenter (eingereicht 12.01.2026)</w:t>
      </w:r>
    </w:p>
    <w:p>
      <w:pPr>
        <w:jc w:val="left"/>
      </w:pPr>
      <w:r>
        <w:rPr>
          <w:b/>
        </w:rPr>
        <w:t>Antrag Nr. 1 — Schadensersatz materiell: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Schadensposition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Selbstbeteiligung Gebäudeschaden (nach Versicherung)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Einkommensausfall während AUF (netto, 27 Tage)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8.800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Heilbehandlungskosten (nicht erstattete KV-Leistungen)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2.340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Anwaltskosten für Strafanzeige und erste Beratung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1.890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materieller Schaden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18.030</w:t>
            </w:r>
          </w:p>
        </w:tc>
      </w:tr>
    </w:tbl>
    <w:p>
      <w:pPr>
        <w:jc w:val="left"/>
      </w:pPr>
      <w:r>
        <w:rPr>
          <w:b/>
        </w:rPr>
        <w:t>Antrag Nr. 2 — Schmerzensgeld (§ 253 BGB):</w:t>
      </w:r>
    </w:p>
    <w:p>
      <w:pPr>
        <w:jc w:val="left"/>
      </w:pPr>
      <w:r>
        <w:t>Beantragt: 25.000 EUR.</w:t>
      </w:r>
    </w:p>
    <w:p>
      <w:pPr>
        <w:jc w:val="left"/>
      </w:pPr>
      <w:r>
        <w:t>Begründung: Schwere Körperverletzung (Schädelprellung), Krankenhausaufenthalt, anhaltende PTBS-Symptome, existenzielle Betroffenheit als Unternehmerin ("Die Tat hat nicht nur meinen Körper, sondern mein Lebenswerk zerstört").</w:t>
      </w:r>
    </w:p>
    <w:p>
      <w:pPr>
        <w:jc w:val="left"/>
      </w:pPr>
      <w:r>
        <w:t>Vergleichsprechung: BGH NJW 2006, 1511 (Schmerzensgeld bei PTBS nach Gewaltverbrechen: 20.000–35.000 EUR bei mittelschwerem Fall).</w:t>
      </w:r>
    </w:p>
    <w:p>
      <w:pPr>
        <w:jc w:val="left"/>
      </w:pPr>
      <w:r>
        <w:rPr>
          <w:b/>
        </w:rPr>
        <w:t>Antrag Nr. 3 — Feststellung Ersatzpflicht für künftige Schäden:</w:t>
      </w:r>
    </w:p>
    <w:p>
      <w:pPr>
        <w:jc w:val="left"/>
      </w:pPr>
      <w:r>
        <w:t>Beantragt wegen möglicher Spätfolgen (Therapiekosten).</w:t>
      </w:r>
    </w:p>
    <w:p>
      <w:pPr>
        <w:pStyle w:val="Heading3"/>
      </w:pPr>
      <w:r>
        <w:rPr>
          <w:rFonts w:ascii="Times New Roman" w:hAnsi="Times New Roman"/>
        </w:rPr>
        <w:t>2.3 Adhäsionsantrag Aydin (eingereicht 14.01.2026)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Schadensposition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Einkommensausfall (laufend, bis vsl. 31.03.2026)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14.200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Heilbehandlungskosten (Physiotherapie, Psychotherapie, Zuzahlungen)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3.800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Anwaltskosten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1.520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materieller Schaden (vorläufig)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19.520</w:t>
            </w:r>
          </w:p>
        </w:tc>
      </w:tr>
    </w:tbl>
    <w:p>
      <w:pPr>
        <w:jc w:val="left"/>
      </w:pPr>
      <w:r>
        <w:rPr>
          <w:b/>
        </w:rPr>
        <w:t>Schmerzensgeld Aydin:</w:t>
      </w:r>
      <w:r>
        <w:t xml:space="preserve"> Beantragt 30.000 EUR.</w:t>
      </w:r>
    </w:p>
    <w:p>
      <w:pPr>
        <w:jc w:val="left"/>
      </w:pPr>
      <w:r>
        <w:t>Begründung: PTBS, Chronifizierung des HWS-Traumas, erheblicher Freizeiteinschränkung, psychologisch weiterhin behandlungsbeduerftig.</w:t>
      </w:r>
    </w:p>
    <w:p/>
    <w:p>
      <w:pPr>
        <w:pStyle w:val="Heading2"/>
      </w:pPr>
      <w:r>
        <w:rPr>
          <w:rFonts w:ascii="Times New Roman" w:hAnsi="Times New Roman"/>
        </w:rPr>
        <w:t>3. Gesamtforderung Nebenklage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Klager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Materieller Schaden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Schmerzensgeld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Goldhofer-Egenter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18.030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43.030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Aydin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19.520 EUR (vorläufig)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49.520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37.550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55.000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92.550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Verteidigungsstrategien gegenüber Adhäsionsanträgen</w:t>
      </w:r>
    </w:p>
    <w:p>
      <w:pPr>
        <w:pStyle w:val="Heading3"/>
      </w:pPr>
      <w:r>
        <w:rPr>
          <w:rFonts w:ascii="Times New Roman" w:hAnsi="Times New Roman"/>
        </w:rPr>
        <w:t>4.1 Höhe der Schmerzensgeldanspruche</w:t>
      </w:r>
    </w:p>
    <w:p>
      <w:pPr>
        <w:jc w:val="left"/>
      </w:pPr>
      <w:r>
        <w:t>RA Dr. Schorlemmer und RA Steinbach halten die Schmerzensgeldforderungen für erhoht. Argumentation: PTBS-Diagnose ist zu früh gestellt; anhaltende Symptome müssen von vorgaengigen Faktoren abgegrenzt werden.</w:t>
      </w:r>
    </w:p>
    <w:p>
      <w:pPr>
        <w:pStyle w:val="Heading3"/>
      </w:pPr>
      <w:r>
        <w:rPr>
          <w:rFonts w:ascii="Times New Roman" w:hAnsi="Times New Roman"/>
        </w:rPr>
        <w:t>4.2 Gesamtschuldnerschaft</w:t>
      </w:r>
    </w:p>
    <w:p>
      <w:pPr>
        <w:jc w:val="left"/>
      </w:pPr>
      <w:r>
        <w:t>Sofern alle Beschuldigten verurteilt werden, haften sie als Gesamtschuldner (§ 840 BGB i.V.m. § 830 StGB). Die interne Aufteilung richtet sich nach den Tatbeiträgen.</w:t>
      </w:r>
    </w:p>
    <w:p>
      <w:pPr>
        <w:pStyle w:val="Heading3"/>
      </w:pPr>
      <w:r>
        <w:rPr>
          <w:rFonts w:ascii="Times New Roman" w:hAnsi="Times New Roman"/>
        </w:rPr>
        <w:t>4.3 Krasniqi — Sonderfall</w:t>
      </w:r>
    </w:p>
    <w:p>
      <w:pPr>
        <w:jc w:val="left"/>
      </w:pPr>
      <w:r>
        <w:t>RAin Dr. Mohnsen-Stoeber hat angekündigt, dass Krasniqi im Rahmen der Verständigung (AS 10) zur Zahlung einer Teilentschädigung an die Verletzten bereit ist, als vertrauensbildende Massnahme vor dem Geständnis.</w:t>
      </w:r>
    </w:p>
    <w:p/>
    <w:p>
      <w:pPr>
        <w:pStyle w:val="Heading2"/>
      </w:pPr>
      <w:r>
        <w:rPr>
          <w:rFonts w:ascii="Times New Roman" w:hAnsi="Times New Roman"/>
        </w:rPr>
        <w:t>5. Nebenklage und Hauptverhandlung</w:t>
      </w:r>
    </w:p>
    <w:p>
      <w:pPr>
        <w:jc w:val="left"/>
      </w:pPr>
      <w:r>
        <w:t>Die Nebenklagevertreterin RAin Brandes-Weiss hat das Recht (§ 397 StPO):</w:t>
      </w:r>
    </w:p>
    <w:p>
      <w:pPr>
        <w:pStyle w:val="ListBullet"/>
      </w:pPr>
      <w:r>
        <w:t>Beweisanträge zu stellen</w:t>
      </w:r>
    </w:p>
    <w:p>
      <w:pPr>
        <w:pStyle w:val="ListBullet"/>
      </w:pPr>
      <w:r>
        <w:t>Fragen an Zeugen zu richten</w:t>
      </w:r>
    </w:p>
    <w:p>
      <w:pPr>
        <w:pStyle w:val="ListBullet"/>
      </w:pPr>
      <w:r>
        <w:t>An der Hauptverhandlung teilzunehmen</w:t>
      </w:r>
    </w:p>
    <w:p>
      <w:pPr>
        <w:pStyle w:val="ListBullet"/>
      </w:pPr>
      <w:r>
        <w:t>Rechtsmittel einzulegen (auch gesondert)</w:t>
      </w:r>
    </w:p>
    <w:p>
      <w:pPr>
        <w:jc w:val="left"/>
      </w:pPr>
      <w:r>
        <w:t>Geplante Aktionen in der HV:</w:t>
      </w:r>
    </w:p>
    <w:p>
      <w:pPr>
        <w:pStyle w:val="ListBullet"/>
      </w:pPr>
      <w:r>
        <w:t>Antrag auf vollständige Verlesung der Verletzungsberichte (Dr. Reissmann, SV-01)</w:t>
      </w:r>
    </w:p>
    <w:p>
      <w:pPr>
        <w:pStyle w:val="ListBullet"/>
      </w:pPr>
      <w:r>
        <w:t>Antrag auf erneute Zeugenvernehmung Goldhofer-Egenter zu PTBS-Folgen</w:t>
      </w:r>
    </w:p>
    <w:p>
      <w:pPr>
        <w:pStyle w:val="ListBullet"/>
      </w:pPr>
      <w:r>
        <w:t>Plädoyer für Höchststrafe (kein minder schwerer Fall)</w:t>
      </w:r>
    </w:p>
    <w:p>
      <w:pPr>
        <w:jc w:val="left"/>
      </w:pPr>
      <w:r>
        <w:rPr>
          <w:b/>
        </w:rPr>
        <w:t>Quellen:</w:t>
      </w:r>
      <w:r>
        <w:t xml:space="preserve"> § 403 StPO, § 395 StPO, § 396 StPO, § 397 StPO (dejure.org); § 253 BGB, § 830 BGB, § 840 BGB (dejure.org); BGH NJW 2006, 1511 (Schmerzensgeld PTBS).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