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15 — Sachverständiger Aussagepsychologie: Krasniqi-Gegenüberstellung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Gegenstand:</w:t>
      </w:r>
      <w:r>
        <w:t xml:space="preserve"> Glaubhaftigkeitsgutachten Prof. Dr. Jochen Sternkopf (Univ. Tuebingen) zur Aussage von Edona Krasniqi in der Gegenüberstellung und im Ermittlungsverfahren</w:t>
      </w:r>
    </w:p>
    <w:p>
      <w:pPr>
        <w:jc w:val="left"/>
      </w:pPr>
      <w:r>
        <w:rPr>
          <w:b/>
        </w:rPr>
        <w:t>Auftrag:</w:t>
      </w:r>
      <w:r>
        <w:t xml:space="preserve"> RAin Dr. Vivien Mohnsen-Stoeber</w:t>
      </w:r>
    </w:p>
    <w:p>
      <w:pPr>
        <w:jc w:val="left"/>
      </w:pPr>
      <w:r>
        <w:rPr>
          <w:b/>
        </w:rPr>
        <w:t>Stand Gutachten:</w:t>
      </w:r>
      <w:r>
        <w:t xml:space="preserve"> Vorentwurf erhalten 10.02.2026 (abschliessend bis 28.02.2026)</w:t>
      </w:r>
    </w:p>
    <w:p/>
    <w:p>
      <w:pPr>
        <w:pStyle w:val="Heading2"/>
      </w:pPr>
      <w:r>
        <w:rPr>
          <w:rFonts w:ascii="Times New Roman" w:hAnsi="Times New Roman"/>
        </w:rPr>
        <w:t>1. Hintergrund — Gegenüberstellung und Aussagen Krasniqi</w:t>
      </w:r>
    </w:p>
    <w:p>
      <w:pPr>
        <w:pStyle w:val="Heading3"/>
      </w:pPr>
      <w:r>
        <w:rPr>
          <w:rFonts w:ascii="Times New Roman" w:hAnsi="Times New Roman"/>
        </w:rPr>
        <w:t>1.1 Ermittlungsverfahren Aussagen</w:t>
      </w:r>
    </w:p>
    <w:p>
      <w:pPr>
        <w:jc w:val="left"/>
      </w:pPr>
      <w:r>
        <w:t>Krasniqi hat im Ermittlungsverfahren folgende Angaben gemacht:</w:t>
      </w:r>
    </w:p>
    <w:p>
      <w:pPr>
        <w:jc w:val="left"/>
      </w:pPr>
      <w:r>
        <w:rPr>
          <w:b/>
        </w:rPr>
        <w:t>Erstvernehmung (20.10.2025, EAkte Bd. 1 S. 204 ff.):</w:t>
      </w:r>
    </w:p>
    <w:p>
      <w:pPr>
        <w:pStyle w:val="ListBullet"/>
      </w:pPr>
      <w:r>
        <w:t>Sie habe sich an dem Tag "zufällig" in der Innenstadt aufgehalten</w:t>
      </w:r>
    </w:p>
    <w:p>
      <w:pPr>
        <w:pStyle w:val="ListBullet"/>
      </w:pPr>
      <w:r>
        <w:t>Korbiel sei ein Bekannter, kein enger Freund</w:t>
      </w:r>
    </w:p>
    <w:p>
      <w:pPr>
        <w:pStyle w:val="ListBullet"/>
      </w:pPr>
      <w:r>
        <w:t>Sie habe nicht gewusst, was geplant war</w:t>
      </w:r>
    </w:p>
    <w:p>
      <w:pPr>
        <w:pStyle w:val="ListBullet"/>
      </w:pPr>
      <w:r>
        <w:t>Fotos habe sie für Instagram gemacht (allgemeine Stadtfotos)</w:t>
      </w:r>
    </w:p>
    <w:p>
      <w:pPr>
        <w:jc w:val="left"/>
      </w:pPr>
      <w:r>
        <w:rPr>
          <w:b/>
        </w:rPr>
        <w:t>Zweite Vernehmung (12.11.2025, EAkte Bd. 3 S. 18 ff.):</w:t>
      </w:r>
      <w:r>
        <w:t xml:space="preserve"> [nach Belehrung durch RAin Dr. Mohnsen-Stoeber]</w:t>
      </w:r>
    </w:p>
    <w:p>
      <w:pPr>
        <w:pStyle w:val="ListBullet"/>
      </w:pPr>
      <w:r>
        <w:t>Krasniqi macht keine weiteren Angaben; Schweigen auf Anraten der Verteidigerin</w:t>
      </w:r>
    </w:p>
    <w:p>
      <w:pPr>
        <w:pStyle w:val="Heading3"/>
      </w:pPr>
      <w:r>
        <w:rPr>
          <w:rFonts w:ascii="Times New Roman" w:hAnsi="Times New Roman"/>
        </w:rPr>
        <w:t>1.2 Gegenüberstellung</w:t>
      </w:r>
    </w:p>
    <w:p>
      <w:pPr>
        <w:jc w:val="left"/>
      </w:pPr>
      <w:r>
        <w:t>Eine Gegenüberstellung Krasniqis mit den Verletzten (§ 58a StPO-Videogegenüberstellung) fand am 25.11.2025 statt:</w:t>
      </w:r>
    </w:p>
    <w:p>
      <w:pPr>
        <w:pStyle w:val="ListBullet"/>
      </w:pPr>
      <w:r>
        <w:t>Beate Goldhofer-Egenter identifizierte Krasniqi sicher als "die Frau, die vor dem Laden stand"</w:t>
      </w:r>
    </w:p>
    <w:p>
      <w:pPr>
        <w:pStyle w:val="ListBullet"/>
      </w:pPr>
      <w:r>
        <w:t>Selma Aydin identifizierte Krasniqi als "die Frau mit dem Handy, die uns zuschaute"</w:t>
      </w:r>
    </w:p>
    <w:p>
      <w:pPr>
        <w:jc w:val="left"/>
      </w:pPr>
      <w:r>
        <w:t>Die Verteidigung bestreitet die Validität der Gegenüberstellung wegen Suggestivfragen des vernehmenden Beamten (KHK Felber) und fehlender Lineup-Kontrolle.</w:t>
      </w:r>
    </w:p>
    <w:p/>
    <w:p>
      <w:pPr>
        <w:pStyle w:val="Heading2"/>
      </w:pPr>
      <w:r>
        <w:rPr>
          <w:rFonts w:ascii="Times New Roman" w:hAnsi="Times New Roman"/>
        </w:rPr>
        <w:t>2. Gutachten Prof. Dr. Sternkopf — Vorentwurf</w:t>
      </w:r>
    </w:p>
    <w:p>
      <w:pPr>
        <w:pStyle w:val="Heading3"/>
      </w:pPr>
      <w:r>
        <w:rPr>
          <w:rFonts w:ascii="Times New Roman" w:hAnsi="Times New Roman"/>
        </w:rPr>
        <w:t>2.1 Auftrag und Methodik</w:t>
      </w:r>
    </w:p>
    <w:p>
      <w:pPr>
        <w:jc w:val="left"/>
      </w:pPr>
      <w:r>
        <w:t xml:space="preserve">Prof. Dr. Jochen Sternkopf (Institut für Aussagepsychologie, Univ. Tuebingen) wurde von RAin Dr. Mohnsen-Stoeber mit der Erstellung eines </w:t>
      </w:r>
      <w:r>
        <w:rPr>
          <w:b/>
        </w:rPr>
        <w:t>Glaubhaftigkeitsgutachtens</w:t>
      </w:r>
      <w:r>
        <w:t xml:space="preserve"> zu den Aussagen der Zeuginnen Goldhofer-Egenter und Aydin sowie zur Gegenüberstellung-Identifizierung beauftragt. Zusätzlich: Gutachten zur Validität der Gegenüberstellung (Lineup-Analyse).</w:t>
      </w:r>
    </w:p>
    <w:p>
      <w:pPr>
        <w:jc w:val="left"/>
      </w:pPr>
      <w:r>
        <w:rPr>
          <w:b/>
        </w:rPr>
        <w:t>Methodik:</w:t>
      </w:r>
      <w:r>
        <w:t xml:space="preserve"> CBCA (Criteria-Based Content Analysis), RM (Reality Monitoring), SGI (Statement Validity Assessment), Gegenüberstellungsanalyse nach den "Bonner Richtlinien für Gegenüberstellungen" (BGH NStZ 2003, 13).</w:t>
      </w:r>
    </w:p>
    <w:p>
      <w:pPr>
        <w:pStyle w:val="Heading3"/>
      </w:pPr>
      <w:r>
        <w:rPr>
          <w:rFonts w:ascii="Times New Roman" w:hAnsi="Times New Roman"/>
        </w:rPr>
        <w:t>2.2 Ergebnisse Vorentwurf (zusammengefasst)</w:t>
      </w:r>
    </w:p>
    <w:p>
      <w:pPr>
        <w:pStyle w:val="Heading3"/>
      </w:pPr>
      <w:r>
        <w:rPr>
          <w:rFonts w:ascii="Times New Roman" w:hAnsi="Times New Roman"/>
        </w:rPr>
        <w:t>a) Aussagen Beate Goldhofer-Egenter</w:t>
      </w:r>
    </w:p>
    <w:p>
      <w:pPr>
        <w:jc w:val="left"/>
      </w:pPr>
      <w:r>
        <w:rPr>
          <w:b/>
        </w:rPr>
        <w:t>CBCA-Analyse:</w:t>
      </w:r>
    </w:p>
    <w:p>
      <w:pPr>
        <w:pStyle w:val="ListBullet"/>
      </w:pPr>
      <w:r>
        <w:t>Hohe Merkmalsdichte (19 von 24 CBCA-Kriterien positiv): Spontane Schilderung unerwarteter Komplikationen, Wiedergabe von Gesprächen, spezifische Details.</w:t>
      </w:r>
    </w:p>
    <w:p>
      <w:pPr>
        <w:pStyle w:val="ListBullet"/>
      </w:pPr>
      <w:r>
        <w:rPr>
          <w:b/>
        </w:rPr>
        <w:t>Einschränkung:</w:t>
      </w:r>
      <w:r>
        <w:t xml:space="preserve"> Bei der Identifizierung Korbiels zeigt Goldhofer-Egenter eine etwas formalisierte Aussage, die möglicherweise durch Zeugenvorbereitungen beeinflusst ist ("Ja, die grossere Person, Beige-Jacke, das war einer"). Wirkt leicht rehearsed.</w:t>
      </w:r>
    </w:p>
    <w:p>
      <w:pPr>
        <w:jc w:val="left"/>
      </w:pPr>
      <w:r>
        <w:rPr>
          <w:b/>
        </w:rPr>
        <w:t>Ergebnis Sternkopf (vorläufig):</w:t>
      </w:r>
      <w:r>
        <w:t xml:space="preserve"> "Die Aussage Goldhofer-Egenter hat hohe Glaubhaftigkeitsmerkmale; die Identifizierung Korbiels ist überwiegend valide, aber nicht ohne Fragezeichen."</w:t>
      </w:r>
    </w:p>
    <w:p>
      <w:pPr>
        <w:pStyle w:val="Heading3"/>
      </w:pPr>
      <w:r>
        <w:rPr>
          <w:rFonts w:ascii="Times New Roman" w:hAnsi="Times New Roman"/>
        </w:rPr>
        <w:t>b) Aussagen Selma Aydin</w:t>
      </w:r>
    </w:p>
    <w:p>
      <w:pPr>
        <w:jc w:val="left"/>
      </w:pPr>
      <w:r>
        <w:rPr>
          <w:b/>
        </w:rPr>
        <w:t>CBCA-Analyse:</w:t>
      </w:r>
    </w:p>
    <w:p>
      <w:pPr>
        <w:pStyle w:val="ListBullet"/>
      </w:pPr>
      <w:r>
        <w:t>Mittlere Merkmalsdichte (14 von 24 positiv); starke emotionale Belastung (Weinen bei Vernehmung) könnte sowohl für Authentizität als auch für emotionale Vermischung sprechen.</w:t>
      </w:r>
    </w:p>
    <w:p>
      <w:pPr>
        <w:pStyle w:val="ListBullet"/>
      </w:pPr>
      <w:r>
        <w:t>PTBS-Symptome können Erinngerungsgenauigkeit beeinträchtigen (Hypervigilanz, Tunnelblick).</w:t>
      </w:r>
    </w:p>
    <w:p>
      <w:pPr>
        <w:jc w:val="left"/>
      </w:pPr>
      <w:r>
        <w:rPr>
          <w:b/>
        </w:rPr>
        <w:t>Ergebnis Sternkopf (vorläufig):</w:t>
      </w:r>
      <w:r>
        <w:t xml:space="preserve"> "Die Aussage Aydin ist glaubhaft, aber aufgrund der PTBS-bedingten Gedächtnisverfälschungen in Einzelheiten (insb. Identifizierung Krasniqis) mit Vorsicht zu bewerten. Empfehle ergänzende Befragung."</w:t>
      </w:r>
    </w:p>
    <w:p>
      <w:pPr>
        <w:pStyle w:val="Heading3"/>
      </w:pPr>
      <w:r>
        <w:rPr>
          <w:rFonts w:ascii="Times New Roman" w:hAnsi="Times New Roman"/>
        </w:rPr>
        <w:t>c) Validität der Gegenüberstellung (Lineup-Analyse)</w:t>
      </w:r>
    </w:p>
    <w:p>
      <w:pPr>
        <w:jc w:val="left"/>
      </w:pPr>
      <w:r>
        <w:rPr>
          <w:b/>
        </w:rPr>
        <w:t>Sternkopf stellt fest:</w:t>
      </w:r>
    </w:p>
    <w:p>
      <w:pPr>
        <w:pStyle w:val="ListNumber"/>
      </w:pPr>
      <w:r>
        <w:t>Die Gegenüberstellung war keine konforme SEQUENTIAL Lineup (sequentielle Darbietung); es wurde simultane Gegenüberstellung verwendet — erhöhte Suggestivität.</w:t>
      </w:r>
    </w:p>
    <w:p>
      <w:pPr>
        <w:pStyle w:val="ListNumber"/>
      </w:pPr>
      <w:r>
        <w:t>KHK Felber hat nach Identifizierung durch Goldhofer-Egenter die Aussage "Ja, genau, die war es" geaeuessert — positive Feedbackaussage, die die Aussage von Aydin nachfolgend beeinflussen konnte (Cross-contamination-Effekt).</w:t>
      </w:r>
    </w:p>
    <w:p>
      <w:pPr>
        <w:pStyle w:val="ListNumber"/>
      </w:pPr>
      <w:r>
        <w:t>Die Lineup-Zusammensetzung: Krasniqi war als einzige kosovarisch-stämmige Person im Lineup; Erkennungsmerkmale könnte ethnische Herkunft gewesen sein, nicht Taetereigenschaft.</w:t>
      </w:r>
    </w:p>
    <w:p>
      <w:pPr>
        <w:jc w:val="left"/>
      </w:pPr>
      <w:r>
        <w:rPr>
          <w:b/>
        </w:rPr>
        <w:t>Schlussfolgerung Sternkopf zur Gegenüberstellung:</w:t>
      </w:r>
      <w:r>
        <w:t xml:space="preserve"> "Die Identifizierung Krasniqis in dieser Gegenüberstellung ist methodisch erheblich kompromittiert und sollte vom Gericht mit deutlich verringertem Beweiswert behandelt werden."</w:t>
      </w:r>
    </w:p>
    <w:p/>
    <w:p>
      <w:pPr>
        <w:pStyle w:val="Heading2"/>
      </w:pPr>
      <w:r>
        <w:rPr>
          <w:rFonts w:ascii="Times New Roman" w:hAnsi="Times New Roman"/>
        </w:rPr>
        <w:t>3. Prozessstrategische Konsequenzen</w:t>
      </w:r>
    </w:p>
    <w:p>
      <w:pPr>
        <w:pStyle w:val="Heading3"/>
      </w:pPr>
      <w:r>
        <w:rPr>
          <w:rFonts w:ascii="Times New Roman" w:hAnsi="Times New Roman"/>
        </w:rPr>
        <w:t>3.1 Für Krasniqi</w:t>
      </w:r>
    </w:p>
    <w:p>
      <w:pPr>
        <w:jc w:val="left"/>
      </w:pPr>
      <w:r>
        <w:t>Das Gutachten Sternkopf ist das zentrale Verteidigungsmittel gegen die Gegenueberstellungs-Identifizierung. Es begründet den Beweisantrag BA-04 (AS 09).</w:t>
      </w:r>
    </w:p>
    <w:p>
      <w:pPr>
        <w:jc w:val="left"/>
      </w:pPr>
      <w:r>
        <w:rPr>
          <w:b/>
        </w:rPr>
        <w:t>Antrag Dr. Mohnsen-Stoeber in der HV:</w:t>
      </w:r>
      <w:r>
        <w:t xml:space="preserve"> Das Gericht soll Prof. Dr. Sternkopf als Sachverständigen laden und sein Gutachten zur Grundlage der Beweiswuerdigung machen.</w:t>
      </w:r>
    </w:p>
    <w:p>
      <w:pPr>
        <w:pStyle w:val="Heading3"/>
      </w:pPr>
      <w:r>
        <w:rPr>
          <w:rFonts w:ascii="Times New Roman" w:hAnsi="Times New Roman"/>
        </w:rPr>
        <w:t>3.2 Für Korbiel (Nebenwirkung)</w:t>
      </w:r>
    </w:p>
    <w:p>
      <w:pPr>
        <w:jc w:val="left"/>
      </w:pPr>
      <w:r>
        <w:t>Prof. Dr. Sternkopf soll auch zur Lineup-Identifizierung Korbiels (Goldhofer-Egenter, 05.11.2025) Stellung nehmen. RA Dr. Schorlemmer hat Sternkopf ebenfalls um Expertise gebeten (paralleler Auftrag). Dabei: Identifizierung Korbiels trotz methodischer Schwäche durch starke DNA-/Videobeweis im Gesamtkontext stuetzbar.</w:t>
      </w:r>
    </w:p>
    <w:p>
      <w:pPr>
        <w:pStyle w:val="Heading3"/>
      </w:pPr>
      <w:r>
        <w:rPr>
          <w:rFonts w:ascii="Times New Roman" w:hAnsi="Times New Roman"/>
        </w:rPr>
        <w:t>3.3 Abstimmung mit Adhäsionsverfahren</w:t>
      </w:r>
    </w:p>
    <w:p>
      <w:pPr>
        <w:jc w:val="left"/>
      </w:pPr>
      <w:r>
        <w:t>Das Gutachten Sternkopf könnte die Glaubhaftigkeit der Verletzten-Aussagen zu den Schadenspositionen mittelbar beeinflussen. RAin Brandes-Weiss (Nebenklage) hat bereits angekündigt, ein Gegengutachten zur Glaubwürdigkeitsfrage einzuholen.</w:t>
      </w:r>
    </w:p>
    <w:p/>
    <w:p>
      <w:pPr>
        <w:pStyle w:val="Heading2"/>
      </w:pPr>
      <w:r>
        <w:rPr>
          <w:rFonts w:ascii="Times New Roman" w:hAnsi="Times New Roman"/>
        </w:rPr>
        <w:t>4. Kosten des Gutachtens</w:t>
      </w:r>
    </w:p>
    <w:p>
      <w:pPr>
        <w:jc w:val="left"/>
      </w:pPr>
      <w:r>
        <w:t>Prof. Dr. Sternkopf wurde als Privatgutachter beauftragt. Honorar: 8.400 EUR (Angebot v. 15.01.2026). Kosten trägt vorläufig Krasniqi / RAin Dr. Mohnsen-Stoeber aus Kanzleivorschuss. Bei Freispruch oder erheblicher Strafminderung: Kostenerstattungsantrag (§ 464a Abs. 2 StPO).</w:t>
      </w:r>
    </w:p>
    <w:p>
      <w:pPr>
        <w:jc w:val="left"/>
      </w:pPr>
      <w:r>
        <w:rPr>
          <w:b/>
        </w:rPr>
        <w:t>Quellen:</w:t>
      </w:r>
      <w:r>
        <w:t xml:space="preserve"> BGH NStZ 2003, 13 (Anforderungen Gegenüberstellung); BGH NStZ 2013, 177 (Aussagepsychologisches Gutachten, Glaubhaftigkeit); BVerfG NJW 2000, 1853 (Sachverstaendigenrecht im Strafprozess); CBCA-Methodik (Steller/Koehnken 1989).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