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16 — Plädoyer-Vorbereitung und Strafzumessung</w:t>
      </w:r>
    </w:p>
    <w:p>
      <w:pPr>
        <w:jc w:val="left"/>
      </w:pPr>
      <w:r>
        <w:rPr>
          <w:b/>
        </w:rPr>
        <w:t>Verfahren:</w:t>
      </w:r>
      <w:r>
        <w:t xml:space="preserve"> KLs 4 Js 18.422/26 — LG Stuttgart 4. Grosse Strafkammer</w:t>
      </w:r>
    </w:p>
    <w:p>
      <w:pPr>
        <w:jc w:val="left"/>
      </w:pPr>
      <w:r>
        <w:rPr>
          <w:b/>
        </w:rPr>
        <w:t>Bearbeitung:</w:t>
      </w:r>
      <w:r>
        <w:t xml:space="preserve"> Alle Verteidiger (koordiniert)</w:t>
      </w:r>
    </w:p>
    <w:p>
      <w:pPr>
        <w:jc w:val="left"/>
      </w:pPr>
      <w:r>
        <w:rPr>
          <w:b/>
        </w:rPr>
        <w:t>Stand:</w:t>
      </w:r>
      <w:r>
        <w:t xml:space="preserve"> 08.02.2026</w:t>
      </w:r>
    </w:p>
    <w:p/>
    <w:p>
      <w:pPr>
        <w:pStyle w:val="Heading2"/>
      </w:pPr>
      <w:r>
        <w:rPr>
          <w:rFonts w:ascii="Times New Roman" w:hAnsi="Times New Roman"/>
        </w:rPr>
        <w:t>1. Strafrahmen und Strafzumessungsgrundlagen</w:t>
      </w:r>
    </w:p>
    <w:p>
      <w:pPr>
        <w:pStyle w:val="Heading3"/>
      </w:pPr>
      <w:r>
        <w:rPr>
          <w:rFonts w:ascii="Times New Roman" w:hAnsi="Times New Roman"/>
        </w:rPr>
        <w:t>1.1 Grundtatbestand § 250 Abs. 2 Nr. 1 StGB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Regelung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Strafrahmen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250 Abs. 2 Nr. 1 StGB (bandenmaessiger schwerer Raub)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Freiheitsstrafe nicht unter 5 Jahren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250 Abs. 3 StGB (minder schwerer Fall)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Freiheitsstrafe 1 bis 10 Jahre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49 Abs. 1 StGB (Strafmilderung bei Gehilfen)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Rahmenverschiebung um ein Viertel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21 StGB i.V.m. § 49 Abs. 1 StGB (verm. Schuldfähigkeit)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Fakultative Rahmenverschiebung</w:t>
            </w:r>
          </w:p>
        </w:tc>
      </w:tr>
    </w:tbl>
    <w:p>
      <w:pPr>
        <w:jc w:val="left"/>
      </w:pPr>
      <w:r>
        <w:rPr>
          <w:b/>
        </w:rPr>
        <w:t>Strafrahmenverlauf (Grundfall):</w:t>
      </w:r>
      <w:r>
        <w:t xml:space="preserve"> Mindestens 5 Jahre Freiheitsstrafe. Kein Höchstrahmen explizit benannt für § 250 Abs. 2 (allg. Höchststrafe § 38 Abs. 2 StGB: 15 Jahre).</w:t>
      </w:r>
    </w:p>
    <w:p>
      <w:pPr>
        <w:pStyle w:val="Heading3"/>
      </w:pPr>
      <w:r>
        <w:rPr>
          <w:rFonts w:ascii="Times New Roman" w:hAnsi="Times New Roman"/>
        </w:rPr>
        <w:t>1.2 Strafzumessungsfaktoren gem. § 46 StGB</w:t>
      </w:r>
    </w:p>
    <w:p>
      <w:pPr>
        <w:jc w:val="left"/>
      </w:pPr>
      <w:r>
        <w:rPr>
          <w:b/>
        </w:rPr>
        <w:t>Straferschwerend (§ 46 Abs. 2 StGB):</w:t>
      </w:r>
    </w:p>
    <w:p>
      <w:pPr>
        <w:pStyle w:val="ListBullet"/>
      </w:pPr>
      <w:r>
        <w:t>Bandenmaessige Vorgehensweise (professionelle Ausführung)</w:t>
      </w:r>
    </w:p>
    <w:p>
      <w:pPr>
        <w:pStyle w:val="ListBullet"/>
      </w:pPr>
      <w:r>
        <w:t>Zwei Verletzte mit erheblichen Körperverletzungsfolgen</w:t>
      </w:r>
    </w:p>
    <w:p>
      <w:pPr>
        <w:pStyle w:val="ListBullet"/>
      </w:pPr>
      <w:r>
        <w:t>Sehr hoher Schadenswert (1,7 Mio. EUR)</w:t>
      </w:r>
    </w:p>
    <w:p>
      <w:pPr>
        <w:pStyle w:val="ListBullet"/>
      </w:pPr>
      <w:r>
        <w:t>Beute vollständig entzogen (kein Schadenswiedergutmachungsansatz bisher)</w:t>
      </w:r>
    </w:p>
    <w:p>
      <w:pPr>
        <w:pStyle w:val="ListBullet"/>
      </w:pPr>
      <w:r>
        <w:t>Vorstrafen Korbiel (Einbruch Polen 2019)</w:t>
      </w:r>
    </w:p>
    <w:p>
      <w:pPr>
        <w:pStyle w:val="ListBullet"/>
      </w:pPr>
      <w:r>
        <w:t>Vorstrafen Iordache (Raub Rumänien 2014)</w:t>
      </w:r>
    </w:p>
    <w:p>
      <w:pPr>
        <w:pStyle w:val="ListBullet"/>
      </w:pPr>
      <w:r>
        <w:t>Internationalitaet der Tat (grenzüberschreitende Bande)</w:t>
      </w:r>
    </w:p>
    <w:p>
      <w:pPr>
        <w:jc w:val="left"/>
      </w:pPr>
      <w:r>
        <w:rPr>
          <w:b/>
        </w:rPr>
        <w:t>Strafmildernd (§ 46 Abs. 2 StGB) — individuell: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Beschuldigter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Milderungsargumente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Korbiel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vorbestraft in Deutschland; Alter 28 Jahre; Kooperationsbereitschaft mit Ermittlungen (teilweise)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Drebenstedt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Körperverletzung direkt ausgeubt; Fahrer ohne direkten Schlag; teilgestaendige Einlassung (erwartet)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Iordache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(Flüchtig — Plädoyer fällt aus, falls nicht gefasst)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Krasniqi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Schwangerschaft, kleines Kind, soziale Notlage, untergeordnete Tatrolle (Späherin), erstmaliger Kontakt mit Strafverfolgung in Deutschland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Plaedoyervorbereitung pro Beschuldigtem</w:t>
      </w:r>
    </w:p>
    <w:p>
      <w:pPr>
        <w:pStyle w:val="Heading3"/>
      </w:pPr>
      <w:r>
        <w:rPr>
          <w:rFonts w:ascii="Times New Roman" w:hAnsi="Times New Roman"/>
        </w:rPr>
        <w:t>2.1 Korbiel — Dr. Schorlemmer</w:t>
      </w:r>
    </w:p>
    <w:p>
      <w:pPr>
        <w:jc w:val="left"/>
      </w:pPr>
      <w:r>
        <w:rPr>
          <w:b/>
        </w:rPr>
        <w:t>Zielsetzung:</w:t>
      </w:r>
      <w:r>
        <w:t xml:space="preserve"> Strafmass unter 7 Jahren; Bewaehrungsfahigkeit nach § 57a StGB (lebenslang nicht anwendbar; bei zeitiger Freiheitsstrafe: Reststrafaussetzung nach 2/3 möglich).</w:t>
      </w:r>
    </w:p>
    <w:p>
      <w:pPr>
        <w:jc w:val="left"/>
      </w:pPr>
      <w:r>
        <w:rPr>
          <w:b/>
        </w:rPr>
        <w:t>Plaedoyerstrategie:</w:t>
      </w:r>
    </w:p>
    <w:p>
      <w:pPr>
        <w:pStyle w:val="ListNumber"/>
      </w:pPr>
      <w:r>
        <w:t>Einlassung erst kurz vor HV-Ende; Geständnis des "Dabeiseins" aber kein Einsatz Gewalt gegen Personen persönlich</w:t>
      </w:r>
    </w:p>
    <w:p>
      <w:pPr>
        <w:pStyle w:val="ListNumber"/>
      </w:pPr>
      <w:r>
        <w:t>DNA-Beweis erschüttern (Gegengutachten)</w:t>
      </w:r>
    </w:p>
    <w:p>
      <w:pPr>
        <w:pStyle w:val="ListNumber"/>
      </w:pPr>
      <w:r>
        <w:t>EncroChat-Identifizierung erschüttern (Beweisantrag BA-01)</w:t>
      </w:r>
    </w:p>
    <w:p>
      <w:pPr>
        <w:pStyle w:val="ListNumber"/>
      </w:pPr>
      <w:r>
        <w:t>Minder schwerer Fall § 250 Abs. 3 StGB beantragen (problematisch bei 2 Verletzten, aber: Korbiel war nicht der Schläger von B. Goldhofer-Egenter)</w:t>
      </w:r>
    </w:p>
    <w:p>
      <w:pPr>
        <w:pStyle w:val="ListNumber"/>
      </w:pPr>
      <w:r>
        <w:t>Jugendstrafrechtliche Reste: Korbiel war bei Tat 28 Jahre; keine Anwendung JGG, aber Reife-Problematik in § 46 StGB nutzbar (soziales Umfeld, Beeinflussung durch Iordache)</w:t>
      </w:r>
    </w:p>
    <w:p>
      <w:pPr>
        <w:jc w:val="left"/>
      </w:pPr>
      <w:r>
        <w:rPr>
          <w:b/>
        </w:rPr>
        <w:t>Strafantrag Verteidigung:</w:t>
      </w:r>
      <w:r>
        <w:t xml:space="preserve"> 5 Jahre 6 Monate (Mindestbereich § 250 Abs. 2 StGB)</w:t>
      </w:r>
    </w:p>
    <w:p>
      <w:pPr>
        <w:pStyle w:val="Heading3"/>
      </w:pPr>
      <w:r>
        <w:rPr>
          <w:rFonts w:ascii="Times New Roman" w:hAnsi="Times New Roman"/>
        </w:rPr>
        <w:t>2.2 Drebenstedt — RA Steinbach</w:t>
      </w:r>
    </w:p>
    <w:p>
      <w:pPr>
        <w:jc w:val="left"/>
      </w:pPr>
      <w:r>
        <w:rPr>
          <w:b/>
        </w:rPr>
        <w:t>Zielsetzung:</w:t>
      </w:r>
      <w:r>
        <w:t xml:space="preserve"> Strafmass 5 bis 6 Jahre; Strafaussetzung zur Bewährung nach 2/3 (§ 57 Abs. 1 StGB)</w:t>
      </w:r>
    </w:p>
    <w:p>
      <w:pPr>
        <w:jc w:val="left"/>
      </w:pPr>
      <w:r>
        <w:rPr>
          <w:b/>
        </w:rPr>
        <w:t>Plaedoyerstrategie:</w:t>
      </w:r>
    </w:p>
    <w:p>
      <w:pPr>
        <w:pStyle w:val="ListNumber"/>
      </w:pPr>
      <w:r>
        <w:t>Drebenstedt als "Fahrer" ohne Körperverletzung — reduzierter Tatbeitrag</w:t>
      </w:r>
    </w:p>
    <w:p>
      <w:pPr>
        <w:pStyle w:val="ListNumber"/>
      </w:pPr>
      <w:r>
        <w:t>Goldbarren-Sicherstellung: Unschuldsvermutung bis Verurteilung; keine weiteren Tatbeweise für Vortatverhältnis</w:t>
      </w:r>
    </w:p>
    <w:p>
      <w:pPr>
        <w:pStyle w:val="ListNumber"/>
      </w:pPr>
      <w:r>
        <w:t>Kooperative Haltung im Ermittlungsverfahren (limitiert)</w:t>
      </w:r>
    </w:p>
    <w:p>
      <w:pPr>
        <w:pStyle w:val="ListNumber"/>
      </w:pPr>
      <w:r>
        <w:t>Geständnis Fahrertätigkeit, aber Bestreiten der Bandenabrede als solcher</w:t>
      </w:r>
    </w:p>
    <w:p>
      <w:pPr>
        <w:pStyle w:val="Heading3"/>
      </w:pPr>
      <w:r>
        <w:rPr>
          <w:rFonts w:ascii="Times New Roman" w:hAnsi="Times New Roman"/>
        </w:rPr>
        <w:t>2.3 Krasniqi — RAin Dr. Mohnsen-Stoeber</w:t>
      </w:r>
    </w:p>
    <w:p>
      <w:pPr>
        <w:jc w:val="left"/>
      </w:pPr>
      <w:r>
        <w:rPr>
          <w:b/>
        </w:rPr>
        <w:t>Zielsetzung:</w:t>
      </w:r>
      <w:r>
        <w:t xml:space="preserve"> Minder schwerer Fall § 250 Abs. 3 StGB; Strafmass max. 3 Jahre 6 Monate; Strafaussetzung zur Bewährung § 56 StGB</w:t>
      </w:r>
    </w:p>
    <w:p>
      <w:pPr>
        <w:jc w:val="left"/>
      </w:pPr>
      <w:r>
        <w:rPr>
          <w:b/>
        </w:rPr>
        <w:t>Plaedoyerstrategie:</w:t>
      </w:r>
    </w:p>
    <w:p>
      <w:pPr>
        <w:pStyle w:val="ListNumber"/>
      </w:pPr>
      <w:r>
        <w:t>Untergeordnete Tatrolle: Späherin ohne Gewaltmittel, kein körperlicher Angriff</w:t>
      </w:r>
    </w:p>
    <w:p>
      <w:pPr>
        <w:pStyle w:val="ListNumber"/>
      </w:pPr>
      <w:r>
        <w:t>Soziale Notlage und Beeinflussbarkeit durch Iordache (Abhängigkeitssituation)</w:t>
      </w:r>
    </w:p>
    <w:p>
      <w:pPr>
        <w:pStyle w:val="ListNumber"/>
      </w:pPr>
      <w:r>
        <w:t>Schwangerschaft und Mutterschaft (Art. 6 GG, § 46 Abs. 1 StGB: Wirkung der Strafe auf Leben)</w:t>
      </w:r>
    </w:p>
    <w:p>
      <w:pPr>
        <w:pStyle w:val="ListNumber"/>
      </w:pPr>
      <w:r>
        <w:t>Erstmaliges Strafverfahren in Deutschland</w:t>
      </w:r>
    </w:p>
    <w:p>
      <w:pPr>
        <w:pStyle w:val="ListNumber"/>
      </w:pPr>
      <w:r>
        <w:t>Kooperationsbereitschaft (Verständigung AS 10)</w:t>
      </w:r>
    </w:p>
    <w:p>
      <w:pPr>
        <w:pStyle w:val="ListNumber"/>
      </w:pPr>
      <w:r>
        <w:t>Kassation Sternkopf-Gutachten: Identifizierung in Gegenüberstellung nicht valide</w:t>
      </w:r>
    </w:p>
    <w:p>
      <w:pPr>
        <w:jc w:val="left"/>
      </w:pPr>
      <w:r>
        <w:rPr>
          <w:b/>
        </w:rPr>
        <w:t>Strafantrag Verteidigung:</w:t>
      </w:r>
      <w:r>
        <w:t xml:space="preserve"> 3 Jahre, Strafaussetzung zur Bewährung § 56 StGB (bei bis zu 2 Jahren: Bewährungsaussetzung möglich bei günstiger Prognose; bei mehr als 2 Jahren bis 3 Jahre: nur bei besonderer Umstände — Krasniqi-Fall könnte diese erfüllen wegen Schwangerschaft)</w:t>
      </w:r>
    </w:p>
    <w:p/>
    <w:p>
      <w:pPr>
        <w:pStyle w:val="Heading2"/>
      </w:pPr>
      <w:r>
        <w:rPr>
          <w:rFonts w:ascii="Times New Roman" w:hAnsi="Times New Roman"/>
        </w:rPr>
        <w:t>3. Strafzumessungs-Tabelle (Simulation)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Beschuldigter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Strafrahmen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StA-Antrag (erwartet)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Verteidigungsantrag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BGH-Vergleichsfälle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Korbiel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250 Abs. 2: mind. 5 J.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 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 J. 6 Mon.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6–8 J. bei vergleichbarem Bandenraub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Drebenstedt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250 Abs. 2: mind. 5 J.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 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 J. 6 Mon.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5–7 J. (Fahrer)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Iordache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250 Abs. 2: mind. 5 J.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10+ 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(in absentia nicht verhandelbar)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9–12 J. (Bandenführer)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Krasniqi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250 Abs. 3: 1–10 J.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 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J. + Bew.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3–5 J. (untergeordnete Rolle, Mutter)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Reststrafaussetzung und Vollstreckungsfragen</w:t>
      </w:r>
    </w:p>
    <w:p>
      <w:pPr>
        <w:pStyle w:val="ListBullet"/>
      </w:pPr>
      <w:r>
        <w:rPr>
          <w:b/>
        </w:rPr>
        <w:t>§ 57 Abs. 1 StGB:</w:t>
      </w:r>
      <w:r>
        <w:t xml:space="preserve"> Bei erstmaliger Verurteilung und positiver Sozialprognose kann das Gericht die Vollstreckung des letzten Drittels zur Bewährung aussetzen (bei bis zu 2 Jahren Strafe: § 56 StGB Vollbewährung)</w:t>
      </w:r>
    </w:p>
    <w:p>
      <w:pPr>
        <w:pStyle w:val="ListBullet"/>
      </w:pPr>
      <w:r>
        <w:rPr>
          <w:b/>
        </w:rPr>
        <w:t>Krasniqi:</w:t>
      </w:r>
      <w:r>
        <w:t xml:space="preserve"> Bei Strafmass 3 Jahre könnte § 56 Abs. 2 StGB ("besondere Umstände") greifen; Schwangerschaft und Kleinkindsituation als "besondere Umstände" anerkannt (BGH NStZ 2019, 218)</w:t>
      </w:r>
    </w:p>
    <w:p>
      <w:pPr>
        <w:pStyle w:val="ListBullet"/>
      </w:pPr>
      <w:r>
        <w:rPr>
          <w:b/>
        </w:rPr>
        <w:t>Korbiel und Drebenstedt:</w:t>
      </w:r>
      <w:r>
        <w:t xml:space="preserve"> Bei Strafmass über 5 Jahren: Reststrafaussetzung nach 2/3 gem. § 57 Abs. 1 StGB nach Verbuessung</w:t>
      </w:r>
    </w:p>
    <w:p>
      <w:pPr>
        <w:jc w:val="left"/>
      </w:pPr>
      <w:r>
        <w:rPr>
          <w:b/>
        </w:rPr>
        <w:t>Quellen:</w:t>
      </w:r>
      <w:r>
        <w:t xml:space="preserve"> § 46 StGB, § 49 StGB, § 56 StGB, § 57 StGB (dejure.org); § 250 StGB, § 250 Abs. 3 StGB (dejure.org); BGH NStZ 2019, 218 (Bewährung Mutter); BGH NStZ 2021, 478 (Bandenraub Strafzumessung); BGH 5 StR 286/20 (Strafzumessung bei mehreren Verletzten).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