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18 — Sonderpaket Effizienz-Tools: KI-Beweis-Index und Datenbanken</w:t>
      </w:r>
    </w:p>
    <w:p>
      <w:pPr>
        <w:jc w:val="left"/>
      </w:pPr>
      <w:r>
        <w:rPr>
          <w:b/>
        </w:rPr>
        <w:t>Verfahren:</w:t>
      </w:r>
      <w:r>
        <w:t xml:space="preserve"> KLs 4 Js 18.422/26</w:t>
      </w:r>
    </w:p>
    <w:p>
      <w:pPr>
        <w:jc w:val="left"/>
      </w:pPr>
      <w:r>
        <w:rPr>
          <w:b/>
        </w:rPr>
        <w:t>Bearbeitung:</w:t>
      </w:r>
      <w:r>
        <w:t xml:space="preserve"> RA Dr. Magnus Schorlemmer / Kanzlei-IT (intern)</w:t>
      </w:r>
    </w:p>
    <w:p>
      <w:pPr>
        <w:jc w:val="left"/>
      </w:pPr>
      <w:r>
        <w:rPr>
          <w:b/>
        </w:rPr>
        <w:t>Gegenstand:</w:t>
      </w:r>
      <w:r>
        <w:t xml:space="preserve"> Digitale Aufbereitung der Ermittlungsakte mit KI-gestütztem Beweis-Index und Datenbank-Management</w:t>
      </w:r>
    </w:p>
    <w:p>
      <w:pPr>
        <w:jc w:val="left"/>
      </w:pPr>
      <w:r>
        <w:rPr>
          <w:b/>
        </w:rPr>
        <w:t>Stand:</w:t>
      </w:r>
      <w:r>
        <w:t xml:space="preserve"> 10.02.2026</w:t>
      </w:r>
    </w:p>
    <w:p/>
    <w:p>
      <w:pPr>
        <w:pStyle w:val="Heading2"/>
      </w:pPr>
      <w:r>
        <w:rPr>
          <w:rFonts w:ascii="Times New Roman" w:hAnsi="Times New Roman"/>
        </w:rPr>
        <w:t>1. Herausforderung: Beweisverwaltung in Gross-Strafverfahren</w:t>
      </w:r>
    </w:p>
    <w:p>
      <w:pPr>
        <w:jc w:val="left"/>
      </w:pPr>
      <w:r>
        <w:t>Das vorliegende Verfahren umfasst (Stand Februar 2026):</w:t>
      </w:r>
    </w:p>
    <w:p>
      <w:pPr>
        <w:pStyle w:val="ListBullet"/>
      </w:pPr>
      <w:r>
        <w:rPr>
          <w:b/>
        </w:rPr>
        <w:t>4.847 Seiten</w:t>
      </w:r>
      <w:r>
        <w:t xml:space="preserve"> Hauptakte (12 Bande)</w:t>
      </w:r>
    </w:p>
    <w:p>
      <w:pPr>
        <w:pStyle w:val="ListBullet"/>
      </w:pPr>
      <w:r>
        <w:rPr>
          <w:b/>
        </w:rPr>
        <w:t>1.247 Seiten</w:t>
      </w:r>
      <w:r>
        <w:t xml:space="preserve"> TKUe-Sonderband</w:t>
      </w:r>
    </w:p>
    <w:p>
      <w:pPr>
        <w:pStyle w:val="ListBullet"/>
      </w:pPr>
      <w:r>
        <w:rPr>
          <w:b/>
        </w:rPr>
        <w:t>487 Observationsfotos</w:t>
      </w:r>
    </w:p>
    <w:p>
      <w:pPr>
        <w:pStyle w:val="ListBullet"/>
      </w:pPr>
      <w:r>
        <w:rPr>
          <w:b/>
        </w:rPr>
        <w:t>34 Videostandbilder</w:t>
      </w:r>
      <w:r>
        <w:t xml:space="preserve"> (Stadtcam) + </w:t>
      </w:r>
      <w:r>
        <w:rPr>
          <w:b/>
        </w:rPr>
        <w:t>22 Videostandbilder</w:t>
      </w:r>
      <w:r>
        <w:t xml:space="preserve"> (Cafe Westermann)</w:t>
      </w:r>
    </w:p>
    <w:p>
      <w:pPr>
        <w:pStyle w:val="ListBullet"/>
      </w:pPr>
      <w:r>
        <w:rPr>
          <w:b/>
        </w:rPr>
        <w:t>Unzählige EncroChat-Nachrichten</w:t>
      </w:r>
      <w:r>
        <w:t xml:space="preserve"> (noch nicht vollständig zugänglich)</w:t>
      </w:r>
    </w:p>
    <w:p>
      <w:pPr>
        <w:pStyle w:val="ListBullet"/>
      </w:pPr>
      <w:r>
        <w:rPr>
          <w:b/>
        </w:rPr>
        <w:t>Mehrere Sachverstaendigengutachten</w:t>
      </w:r>
    </w:p>
    <w:p>
      <w:pPr>
        <w:pStyle w:val="ListBullet"/>
      </w:pPr>
      <w:r>
        <w:rPr>
          <w:b/>
        </w:rPr>
        <w:t>Internationale Rechtshilfe-Korrespondenz</w:t>
      </w:r>
    </w:p>
    <w:p>
      <w:pPr>
        <w:jc w:val="left"/>
      </w:pPr>
      <w:r>
        <w:t>Ohne systematische digitale Aufbereitung ist eine effektive Verteidigung in der Hauptverhandlung mit 22 geplanten Verhandlungstagen kaum möglich.</w:t>
      </w:r>
    </w:p>
    <w:p/>
    <w:p>
      <w:pPr>
        <w:pStyle w:val="Heading2"/>
      </w:pPr>
      <w:r>
        <w:rPr>
          <w:rFonts w:ascii="Times New Roman" w:hAnsi="Times New Roman"/>
        </w:rPr>
        <w:t>2. KI-Beweis-Index — Konzept</w:t>
      </w:r>
    </w:p>
    <w:p>
      <w:pPr>
        <w:pStyle w:val="Heading3"/>
      </w:pPr>
      <w:r>
        <w:rPr>
          <w:rFonts w:ascii="Times New Roman" w:hAnsi="Times New Roman"/>
        </w:rPr>
        <w:t>2.1 Technische Umsetzung</w:t>
      </w:r>
    </w:p>
    <w:p>
      <w:pPr>
        <w:jc w:val="left"/>
      </w:pPr>
      <w:r>
        <w:t>Die Kanzlei Dr. Schorlemmer hat ein internes Werkzeug entwickelt, das auf dem Prinzip eines semantischen Such-Index basiert:</w:t>
      </w:r>
    </w:p>
    <w:p>
      <w:pPr>
        <w:jc w:val="left"/>
      </w:pPr>
      <w:r>
        <w:rPr>
          <w:b/>
        </w:rPr>
        <w:t>Schritt 1 — OCR und Digitalisierung:</w:t>
      </w:r>
    </w:p>
    <w:p>
      <w:pPr>
        <w:jc w:val="left"/>
      </w:pPr>
      <w:r>
        <w:t>Alle Aktenbände wurden eingescannt und per OCR (ABBYY FineReader) digitalisiert. Die digitalisierten Texte wurden in ein internes Dokumentenverwaltungssystem (Kanzlei-DMS auf Basis OpenSearch) geladen.</w:t>
      </w:r>
    </w:p>
    <w:p>
      <w:pPr>
        <w:jc w:val="left"/>
      </w:pPr>
      <w:r>
        <w:rPr>
          <w:b/>
        </w:rPr>
        <w:t>Schritt 2 — Beweis-Tagging:</w:t>
      </w:r>
    </w:p>
    <w:p>
      <w:pPr>
        <w:jc w:val="left"/>
      </w:pPr>
      <w:r>
        <w:t>Jedes Dokument erhielt manuelle und semi-automatische Tags:</w:t>
      </w:r>
    </w:p>
    <w:p>
      <w:pPr>
        <w:pStyle w:val="ListBullet"/>
      </w:pPr>
      <w:r>
        <w:t>Beschuldigter (Korbiel / Drebenstedt / Iordache / Krasniqi / Unbekannt)</w:t>
      </w:r>
    </w:p>
    <w:p>
      <w:pPr>
        <w:pStyle w:val="ListBullet"/>
      </w:pPr>
      <w:r>
        <w:t>Beweismittelkategorie (Zeuge / Urkunde / Lichtbild / TKUe / FZA / EncroChat / DNA)</w:t>
      </w:r>
    </w:p>
    <w:p>
      <w:pPr>
        <w:pStyle w:val="ListBullet"/>
      </w:pPr>
      <w:r>
        <w:t>Zeitstempel (Datum des Ereignisses, Datum der Erstellung)</w:t>
      </w:r>
    </w:p>
    <w:p>
      <w:pPr>
        <w:pStyle w:val="ListBullet"/>
      </w:pPr>
      <w:r>
        <w:t>Beweiswert (belastend / entlastend / neutral)</w:t>
      </w:r>
    </w:p>
    <w:p>
      <w:pPr>
        <w:pStyle w:val="ListBullet"/>
      </w:pPr>
      <w:r>
        <w:t>Tatbestandselement (Raub / Bande / Verletzung / Geldwaesche / Flucht)</w:t>
      </w:r>
    </w:p>
    <w:p>
      <w:pPr>
        <w:jc w:val="left"/>
      </w:pPr>
      <w:r>
        <w:rPr>
          <w:b/>
        </w:rPr>
        <w:t>Schritt 3 — Verknüpfung:</w:t>
      </w:r>
    </w:p>
    <w:p>
      <w:pPr>
        <w:jc w:val="left"/>
      </w:pPr>
      <w:r>
        <w:t>Automatische Verknüpfung von Dokumenten, die dieselben Personen, Orte, Zeitpunkte oder Spurennummern erwähnen. Ergebnis: Ein Graph der Beweis-Zusammenhänge.</w:t>
      </w:r>
    </w:p>
    <w:p>
      <w:pPr>
        <w:pStyle w:val="Heading3"/>
      </w:pPr>
      <w:r>
        <w:rPr>
          <w:rFonts w:ascii="Times New Roman" w:hAnsi="Times New Roman"/>
        </w:rPr>
        <w:t>2.2 Abfragebeispiele</w:t>
      </w:r>
    </w:p>
    <w:p>
      <w:pPr>
        <w:jc w:val="left"/>
      </w:pPr>
      <w:r>
        <w:t>Anfrage: "Alle belastenden Beweise gegen Korbiel am Tatortbezug 18.10.2025"</w:t>
      </w:r>
    </w:p>
    <w:p>
      <w:pPr>
        <w:jc w:val="left"/>
      </w:pPr>
      <w:r>
        <w:t>→ Index liefert: OB-Lichtbild 141–168; TKUe G-14; FZA-Zelle Korbiel PL-SIM; DNA SP-001; Stadtcam STG-CAM-044 Frame 10:44; Fingerabdruck SP-002.</w:t>
      </w:r>
    </w:p>
    <w:p>
      <w:pPr>
        <w:jc w:val="left"/>
      </w:pPr>
      <w:r>
        <w:t>Anfrage: "Alle Beweise mit zeitlichem Widerspruch oder Einschränkungen"</w:t>
      </w:r>
    </w:p>
    <w:p>
      <w:pPr>
        <w:jc w:val="left"/>
      </w:pPr>
      <w:r>
        <w:t>→ Index liefert: TKUe G-41 (Krasniqi post-Verhaftung); Drebenstedt-Videoidentifizierung 72%; Sternkopf-Gutachten Gegenüberstellung Krasniqi.</w:t>
      </w:r>
    </w:p>
    <w:p/>
    <w:p>
      <w:pPr>
        <w:pStyle w:val="Heading2"/>
      </w:pPr>
      <w:r>
        <w:rPr>
          <w:rFonts w:ascii="Times New Roman" w:hAnsi="Times New Roman"/>
        </w:rPr>
        <w:t>3. Interne Beweis-Datenbank (Zeugenmatrix)</w:t>
      </w:r>
    </w:p>
    <w:p>
      <w:pPr>
        <w:jc w:val="left"/>
      </w:pPr>
      <w:r>
        <w:rPr>
          <w:i/>
        </w:rPr>
        <w:t>(Vollständige Tabelle in xlsx/zeugen_beweismittel_matrix.xlsx, Tabellenblatt "Zeugenmatrix")</w:t>
      </w:r>
    </w:p>
    <w:p>
      <w:pPr>
        <w:jc w:val="left"/>
      </w:pPr>
      <w:r>
        <w:t>Die Zeugenmatrix erfasst alle Zeugen und ihre Aussagerelevanz für jeden Tatbestandsaspekt: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Zeuge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Korbiel-Ident.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Drebenstedt-Ident.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Krasniqi-Ident.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Tatablauf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Verletzungen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Bandenabrede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Z-01 (Goldhofer-Egenter)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 (eigene)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Z-02 (Aydin)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 (eigene)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Z-04 (Wauer)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 (?)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Z-06 (Zimmermann)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Z-08 (KHK Felber)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 (indirekt)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 (EG-Ergebnis)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Z-11 (KHK Ruoff)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 (OB)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 (OB-Fahrzeug)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 (OB)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 (Ulm-Treffen)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SV-01 (Dr. Reissmann)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 (Gutachten)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Risikoanalyse-Modul</w:t>
      </w:r>
    </w:p>
    <w:p>
      <w:pPr>
        <w:jc w:val="left"/>
      </w:pPr>
      <w:r>
        <w:t>Das interne System enthalt ein einfaches Risikoanalyse-Modul, das den Beweisstatus jedes Tatbestandselements bewertet: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Tatbestandselement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Belastende Beweise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Entlastende Beweise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Risikograd (Verurteilung)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Wegnahme (§ 249 StGB)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DNA, Fingerabdruck, Video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Korbiel bestreitet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Gefahrl. Werkzeug (§ 250 Abs. 2 Nr. 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SP-001 Brecheisen, SP-002 Pfefferspray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Bandenabrede (§ 244a StGB)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TKUe, FZA, OB Ulm-Treffen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EncroChat-Verwertbarkeit unklar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Mittel-hoch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Verletzungen (§ 226 StGB Qualifikation)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SV-01 Gutachten, Krankenhausunterlagen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Korbiel: nicht Schläger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Mittäterschaft Drebenstedt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TKUe G-07, FZA, Video (72%)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Videoidentifizierung angreifbar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Mittäterschaft Krasniqi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TKUe G-14, Video, Gegenüberstellung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Sternkopf-Gutachten, Zeitwiderspruch G-41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Geldwaesche (§ 261 StGB)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BTC-Wallets, TKUe G-58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EncroChat-Verwertbarkeit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Nutzungsregeln und Datenschutz</w:t>
      </w:r>
    </w:p>
    <w:p>
      <w:pPr>
        <w:jc w:val="left"/>
      </w:pPr>
      <w:r>
        <w:t>Das interne Beweis-Index-System unterliegt strengen Vertraulichkeitsregeln:</w:t>
      </w:r>
    </w:p>
    <w:p>
      <w:pPr>
        <w:pStyle w:val="ListBullet"/>
      </w:pPr>
      <w:r>
        <w:t>Zugriff nur für beauftragte Kanzlei-Mitarbeiter (Anwälte, Referendare mit Schweigepflicht)</w:t>
      </w:r>
    </w:p>
    <w:p>
      <w:pPr>
        <w:pStyle w:val="ListBullet"/>
      </w:pPr>
      <w:r>
        <w:t>Keine Cloud-Speicherung; rein lokaler Kanzlei-Server</w:t>
      </w:r>
    </w:p>
    <w:p>
      <w:pPr>
        <w:pStyle w:val="ListBullet"/>
      </w:pPr>
      <w:r>
        <w:t>Alle Dateien sollen nach Abschluss des Verfahrens gelöscht werden (§ 50 BRAO: Handaktenaufbewahrung 5 Jahre; danach Löschung)</w:t>
      </w:r>
    </w:p>
    <w:p>
      <w:pPr>
        <w:pStyle w:val="ListBullet"/>
      </w:pPr>
      <w:r>
        <w:t>DSGVO-Konformitaet: Die Verarbeitung von Beschuldigten-/Zeugendaten ist durch § 45 BDSG (Strafverfolgungszweck) zulässig</w:t>
      </w:r>
    </w:p>
    <w:p>
      <w:pPr>
        <w:jc w:val="left"/>
      </w:pPr>
      <w:r>
        <w:rPr>
          <w:b/>
        </w:rPr>
        <w:t>Quellen:</w:t>
      </w:r>
      <w:r>
        <w:t xml:space="preserve"> § 50 BRAO (dejure.org); § 45 BDSG (dejure.org); DSGVO Art. 10 (Verarbeitung strafrechtlicher Daten); BGH NStZ 2021, 118 (Datenschutz im Strafverfahren).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