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20 — Risikoanalyse und Verfahrensstrategien</w:t>
      </w:r>
    </w:p>
    <w:p>
      <w:pPr>
        <w:jc w:val="left"/>
      </w:pPr>
      <w:r>
        <w:rPr>
          <w:b/>
        </w:rPr>
        <w:t>Verfahren:</w:t>
      </w:r>
      <w:r>
        <w:t xml:space="preserve"> KLs 4 Js 18.422/26</w:t>
      </w:r>
    </w:p>
    <w:p>
      <w:pPr>
        <w:jc w:val="left"/>
      </w:pPr>
      <w:r>
        <w:rPr>
          <w:b/>
        </w:rPr>
        <w:t>Bearbeitung:</w:t>
      </w:r>
      <w:r>
        <w:t xml:space="preserve"> Alle Verteidiger (interne Konferenz 12.02.2026)</w:t>
      </w:r>
    </w:p>
    <w:p>
      <w:pPr>
        <w:jc w:val="left"/>
      </w:pPr>
      <w:r>
        <w:rPr>
          <w:b/>
        </w:rPr>
        <w:t>Stand:</w:t>
      </w:r>
      <w:r>
        <w:t xml:space="preserve"> 12.02.2026</w:t>
      </w:r>
    </w:p>
    <w:p/>
    <w:p>
      <w:pPr>
        <w:pStyle w:val="Heading2"/>
      </w:pPr>
      <w:r>
        <w:rPr>
          <w:rFonts w:ascii="Times New Roman" w:hAnsi="Times New Roman"/>
        </w:rPr>
        <w:t>1. Gesamtrisikobewertung</w:t>
      </w:r>
    </w:p>
    <w:p>
      <w:pPr>
        <w:pStyle w:val="Heading3"/>
      </w:pPr>
      <w:r>
        <w:rPr>
          <w:rFonts w:ascii="Times New Roman" w:hAnsi="Times New Roman"/>
        </w:rPr>
        <w:t>1.1 Ausgangslage</w:t>
      </w:r>
    </w:p>
    <w:p>
      <w:pPr>
        <w:jc w:val="left"/>
      </w:pPr>
      <w:r>
        <w:t>Das vorliegende Sammelverfahren ist durch eine aussergewoehnliche Beweisdichte gekennzeichnet:</w:t>
      </w:r>
    </w:p>
    <w:p>
      <w:pPr>
        <w:pStyle w:val="ListBullet"/>
      </w:pPr>
      <w:r>
        <w:t>DNA-Spur an Tatwaffe (Korbiel)</w:t>
      </w:r>
    </w:p>
    <w:p>
      <w:pPr>
        <w:pStyle w:val="ListBullet"/>
      </w:pPr>
      <w:r>
        <w:t>Videoidentifizierung (Korbiel, Krasniqi nahezu sicher; Drebenstedt mit Einschränkungen)</w:t>
      </w:r>
    </w:p>
    <w:p>
      <w:pPr>
        <w:pStyle w:val="ListBullet"/>
      </w:pPr>
      <w:r>
        <w:t>FZA-Präsenz aller Beschuldigter in Tatortfunkzelle (ausser Iordache)</w:t>
      </w:r>
    </w:p>
    <w:p>
      <w:pPr>
        <w:pStyle w:val="ListBullet"/>
      </w:pPr>
      <w:r>
        <w:t>TKUe-Protokolle mit tatbezogenen Inhalten</w:t>
      </w:r>
    </w:p>
    <w:p>
      <w:pPr>
        <w:pStyle w:val="ListBullet"/>
      </w:pPr>
      <w:r>
        <w:t>Observation (Korbiel/Krasniqi-Treffen am Tatort vorab; Iordache-Treffen Ulm)</w:t>
      </w:r>
    </w:p>
    <w:p>
      <w:pPr>
        <w:pStyle w:val="ListBullet"/>
      </w:pPr>
      <w:r>
        <w:t>(Bestrittene) EncroChat/SkyECC-Daten</w:t>
      </w:r>
    </w:p>
    <w:p>
      <w:pPr>
        <w:jc w:val="left"/>
      </w:pPr>
      <w:r>
        <w:rPr>
          <w:b/>
        </w:rPr>
        <w:t>Gesamtrisikobewertung Verurteilung:</w:t>
      </w:r>
    </w:p>
    <w:p>
      <w:pPr>
        <w:pStyle w:val="ListBullet"/>
      </w:pPr>
      <w:r>
        <w:t>Korbiel: 85% Wahrscheinlichkeit Verurteilung als Mittäter § 250 Abs. 2 StGB</w:t>
      </w:r>
    </w:p>
    <w:p>
      <w:pPr>
        <w:pStyle w:val="ListBullet"/>
      </w:pPr>
      <w:r>
        <w:t>Drebenstedt: 78% Wahrscheinlichkeit (Einschränkung: Videoidentifizierung angreifbar)</w:t>
      </w:r>
    </w:p>
    <w:p>
      <w:pPr>
        <w:pStyle w:val="ListBullet"/>
      </w:pPr>
      <w:r>
        <w:t>Iordache: Verfahren in absentia wahrscheinlich ausgesetzt; selbständige Einziehung nach § 76a StGB</w:t>
      </w:r>
    </w:p>
    <w:p>
      <w:pPr>
        <w:pStyle w:val="ListBullet"/>
      </w:pPr>
      <w:r>
        <w:t>Krasniqi: 70% Verurteilung, aber möglicherweise § 250 Abs. 3 (minder schwerer Fall)</w:t>
      </w:r>
    </w:p>
    <w:p>
      <w:pPr>
        <w:pStyle w:val="Heading3"/>
      </w:pPr>
      <w:r>
        <w:rPr>
          <w:rFonts w:ascii="Times New Roman" w:hAnsi="Times New Roman"/>
        </w:rPr>
        <w:t>1.2 Szenarien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Szenario</w:t>
            </w:r>
          </w:p>
        </w:tc>
        <w:tc>
          <w:tcPr>
            <w:tcW w:type="dxa" w:w="2268"/>
          </w:tcPr>
          <w:p>
            <w:r>
              <w:rPr>
                <w:rFonts w:ascii="Times New Roman" w:hAnsi="Times New Roman"/>
                <w:b/>
                <w:sz w:val="20"/>
              </w:rPr>
              <w:t>Bedingung</w:t>
            </w:r>
          </w:p>
        </w:tc>
        <w:tc>
          <w:tcPr>
            <w:tcW w:type="dxa" w:w="2268"/>
          </w:tcPr>
          <w:p>
            <w:r>
              <w:rPr>
                <w:rFonts w:ascii="Times New Roman" w:hAnsi="Times New Roman"/>
                <w:b/>
                <w:sz w:val="20"/>
              </w:rPr>
              <w:t>Wahrscheinlichkeit</w:t>
            </w:r>
          </w:p>
        </w:tc>
        <w:tc>
          <w:tcPr>
            <w:tcW w:type="dxa" w:w="2268"/>
          </w:tcPr>
          <w:p>
            <w:r>
              <w:rPr>
                <w:rFonts w:ascii="Times New Roman" w:hAnsi="Times New Roman"/>
                <w:b/>
                <w:sz w:val="20"/>
              </w:rPr>
              <w:t>Strafmass (Korbiel)</w:t>
            </w:r>
          </w:p>
        </w:tc>
      </w:tr>
      <w:tr>
        <w:tc>
          <w:tcPr>
            <w:tcW w:type="dxa" w:w="2268"/>
          </w:tcPr>
          <w:p>
            <w:r>
              <w:rPr>
                <w:rFonts w:ascii="Times New Roman" w:hAnsi="Times New Roman"/>
                <w:sz w:val="20"/>
              </w:rPr>
              <w:t>Vollverurteilung</w:t>
            </w:r>
          </w:p>
        </w:tc>
        <w:tc>
          <w:tcPr>
            <w:tcW w:type="dxa" w:w="2268"/>
          </w:tcPr>
          <w:p>
            <w:r>
              <w:rPr>
                <w:rFonts w:ascii="Times New Roman" w:hAnsi="Times New Roman"/>
                <w:sz w:val="20"/>
              </w:rPr>
              <w:t>EncroChat-Daten verwertbar, alle Hauptbeweise halten</w:t>
            </w:r>
          </w:p>
        </w:tc>
        <w:tc>
          <w:tcPr>
            <w:tcW w:type="dxa" w:w="2268"/>
          </w:tcPr>
          <w:p>
            <w:r>
              <w:rPr>
                <w:rFonts w:ascii="Times New Roman" w:hAnsi="Times New Roman"/>
                <w:sz w:val="20"/>
              </w:rPr>
              <w:t>55%</w:t>
            </w:r>
          </w:p>
        </w:tc>
        <w:tc>
          <w:tcPr>
            <w:tcW w:type="dxa" w:w="2268"/>
          </w:tcPr>
          <w:p>
            <w:r>
              <w:rPr>
                <w:rFonts w:ascii="Times New Roman" w:hAnsi="Times New Roman"/>
                <w:sz w:val="20"/>
              </w:rPr>
              <w:t>7–9 Jahre</w:t>
            </w:r>
          </w:p>
        </w:tc>
      </w:tr>
      <w:tr>
        <w:tc>
          <w:tcPr>
            <w:tcW w:type="dxa" w:w="2268"/>
          </w:tcPr>
          <w:p>
            <w:r>
              <w:rPr>
                <w:rFonts w:ascii="Times New Roman" w:hAnsi="Times New Roman"/>
                <w:sz w:val="20"/>
              </w:rPr>
              <w:t>Teilverurteilung</w:t>
            </w:r>
          </w:p>
        </w:tc>
        <w:tc>
          <w:tcPr>
            <w:tcW w:type="dxa" w:w="2268"/>
          </w:tcPr>
          <w:p>
            <w:r>
              <w:rPr>
                <w:rFonts w:ascii="Times New Roman" w:hAnsi="Times New Roman"/>
                <w:sz w:val="20"/>
              </w:rPr>
              <w:t>EncroChat nicht verwertbar; DNA/Video allein</w:t>
            </w:r>
          </w:p>
        </w:tc>
        <w:tc>
          <w:tcPr>
            <w:tcW w:type="dxa" w:w="2268"/>
          </w:tcPr>
          <w:p>
            <w:r>
              <w:rPr>
                <w:rFonts w:ascii="Times New Roman" w:hAnsi="Times New Roman"/>
                <w:sz w:val="20"/>
              </w:rPr>
              <w:t>30%</w:t>
            </w:r>
          </w:p>
        </w:tc>
        <w:tc>
          <w:tcPr>
            <w:tcW w:type="dxa" w:w="2268"/>
          </w:tcPr>
          <w:p>
            <w:r>
              <w:rPr>
                <w:rFonts w:ascii="Times New Roman" w:hAnsi="Times New Roman"/>
                <w:sz w:val="20"/>
              </w:rPr>
              <w:t>5–7 Jahre</w:t>
            </w:r>
          </w:p>
        </w:tc>
      </w:tr>
      <w:tr>
        <w:tc>
          <w:tcPr>
            <w:tcW w:type="dxa" w:w="2268"/>
          </w:tcPr>
          <w:p>
            <w:r>
              <w:rPr>
                <w:rFonts w:ascii="Times New Roman" w:hAnsi="Times New Roman"/>
                <w:sz w:val="20"/>
              </w:rPr>
              <w:t>Minder schwerer Fall</w:t>
            </w:r>
          </w:p>
        </w:tc>
        <w:tc>
          <w:tcPr>
            <w:tcW w:type="dxa" w:w="2268"/>
          </w:tcPr>
          <w:p>
            <w:r>
              <w:rPr>
                <w:rFonts w:ascii="Times New Roman" w:hAnsi="Times New Roman"/>
                <w:sz w:val="20"/>
              </w:rPr>
              <w:t>Geständnis + Kooperation</w:t>
            </w:r>
          </w:p>
        </w:tc>
        <w:tc>
          <w:tcPr>
            <w:tcW w:type="dxa" w:w="2268"/>
          </w:tcPr>
          <w:p>
            <w:r>
              <w:rPr>
                <w:rFonts w:ascii="Times New Roman" w:hAnsi="Times New Roman"/>
                <w:sz w:val="20"/>
              </w:rPr>
              <w:t>10%</w:t>
            </w:r>
          </w:p>
        </w:tc>
        <w:tc>
          <w:tcPr>
            <w:tcW w:type="dxa" w:w="2268"/>
          </w:tcPr>
          <w:p>
            <w:r>
              <w:rPr>
                <w:rFonts w:ascii="Times New Roman" w:hAnsi="Times New Roman"/>
                <w:sz w:val="20"/>
              </w:rPr>
              <w:t>5–6 Jahre</w:t>
            </w:r>
          </w:p>
        </w:tc>
      </w:tr>
      <w:tr>
        <w:tc>
          <w:tcPr>
            <w:tcW w:type="dxa" w:w="2268"/>
          </w:tcPr>
          <w:p>
            <w:r>
              <w:rPr>
                <w:rFonts w:ascii="Times New Roman" w:hAnsi="Times New Roman"/>
                <w:sz w:val="20"/>
              </w:rPr>
              <w:t>Freispruch</w:t>
            </w:r>
          </w:p>
        </w:tc>
        <w:tc>
          <w:tcPr>
            <w:tcW w:type="dxa" w:w="2268"/>
          </w:tcPr>
          <w:p>
            <w:r>
              <w:rPr>
                <w:rFonts w:ascii="Times New Roman" w:hAnsi="Times New Roman"/>
                <w:sz w:val="20"/>
              </w:rPr>
              <w:t>Sämtliche Beweise erschuetterbar</w:t>
            </w:r>
          </w:p>
        </w:tc>
        <w:tc>
          <w:tcPr>
            <w:tcW w:type="dxa" w:w="2268"/>
          </w:tcPr>
          <w:p>
            <w:r>
              <w:rPr>
                <w:rFonts w:ascii="Times New Roman" w:hAnsi="Times New Roman"/>
                <w:sz w:val="20"/>
              </w:rPr>
              <w:t>5%</w:t>
            </w:r>
          </w:p>
        </w:tc>
        <w:tc>
          <w:tcPr>
            <w:tcW w:type="dxa" w:w="2268"/>
          </w:tcPr>
          <w:p>
            <w:r>
              <w:rPr>
                <w:rFonts w:ascii="Times New Roman" w:hAnsi="Times New Roman"/>
                <w:sz w:val="20"/>
              </w:rPr>
              <w:t>—</w:t>
            </w:r>
          </w:p>
        </w:tc>
      </w:tr>
    </w:tbl>
    <w:p/>
    <w:p>
      <w:pPr>
        <w:pStyle w:val="Heading2"/>
      </w:pPr>
      <w:r>
        <w:rPr>
          <w:rFonts w:ascii="Times New Roman" w:hAnsi="Times New Roman"/>
        </w:rPr>
        <w:t>2. Strategie-Optionen pro Beschuldigtem</w:t>
      </w:r>
    </w:p>
    <w:p>
      <w:pPr>
        <w:pStyle w:val="Heading3"/>
      </w:pPr>
      <w:r>
        <w:rPr>
          <w:rFonts w:ascii="Times New Roman" w:hAnsi="Times New Roman"/>
        </w:rPr>
        <w:t>2.1 Korbiel — Strategie Dr. Schorlemmer</w:t>
      </w:r>
    </w:p>
    <w:p>
      <w:pPr>
        <w:jc w:val="left"/>
      </w:pPr>
      <w:r>
        <w:rPr>
          <w:b/>
        </w:rPr>
        <w:t>Option A (bevorzugt): Kampfverteidigung</w:t>
      </w:r>
    </w:p>
    <w:p>
      <w:pPr>
        <w:pStyle w:val="ListBullet"/>
      </w:pPr>
      <w:r>
        <w:t>Keine Mitwirkung, alle Beweismittel angreifen</w:t>
      </w:r>
    </w:p>
    <w:p>
      <w:pPr>
        <w:pStyle w:val="ListBullet"/>
      </w:pPr>
      <w:r>
        <w:t>Fokus: EncroChat-Unverwertbarkeit (BA-01), Gegengutachten DNA (BA-02), Lineup-Validität</w:t>
      </w:r>
    </w:p>
    <w:p>
      <w:pPr>
        <w:pStyle w:val="ListBullet"/>
      </w:pPr>
      <w:r>
        <w:t>Risiko: Bei Scheitern aller Anträge: volle Strafe (7–9 Jahre)</w:t>
      </w:r>
    </w:p>
    <w:p>
      <w:pPr>
        <w:pStyle w:val="ListBullet"/>
      </w:pPr>
      <w:r>
        <w:t>Vorteil: Bei BA-01-Erfolg signifikant reduziertes Strafmass möglich</w:t>
      </w:r>
    </w:p>
    <w:p>
      <w:pPr>
        <w:jc w:val="left"/>
      </w:pPr>
      <w:r>
        <w:rPr>
          <w:b/>
        </w:rPr>
        <w:t>Option B (Rücklage): Teilgeständnis</w:t>
      </w:r>
    </w:p>
    <w:p>
      <w:pPr>
        <w:pStyle w:val="ListBullet"/>
      </w:pPr>
      <w:r>
        <w:t>Zugabe: Präsenz am Tatort und Mitwirkung an Schaufensterdurchbruch</w:t>
      </w:r>
    </w:p>
    <w:p>
      <w:pPr>
        <w:pStyle w:val="ListBullet"/>
      </w:pPr>
      <w:r>
        <w:t>Bestreitung: Eigener Einsatz gegen Personen (kein Pfefferspray durch Korbiel direkt)</w:t>
      </w:r>
    </w:p>
    <w:p>
      <w:pPr>
        <w:pStyle w:val="ListBullet"/>
      </w:pPr>
      <w:r>
        <w:t>Ziel: Reduzierung auf § 250 Abs. 3 StGB (minder schwerer Fall) oder zumindest Strafmass unter 7 Jahren</w:t>
      </w:r>
    </w:p>
    <w:p>
      <w:pPr>
        <w:jc w:val="left"/>
      </w:pPr>
      <w:r>
        <w:rPr>
          <w:b/>
        </w:rPr>
        <w:t>Empfehlung:</w:t>
      </w:r>
      <w:r>
        <w:t xml:space="preserve"> Option A bis Entscheidung LG Stuttgart über EncroChat-Beschwerde (Az. 4 Qs 22/26); dann Neubewertung.</w:t>
      </w:r>
    </w:p>
    <w:p>
      <w:pPr>
        <w:pStyle w:val="Heading3"/>
      </w:pPr>
      <w:r>
        <w:rPr>
          <w:rFonts w:ascii="Times New Roman" w:hAnsi="Times New Roman"/>
        </w:rPr>
        <w:t>2.2 Drebenstedt — Strategie Steinbach</w:t>
      </w:r>
    </w:p>
    <w:p>
      <w:pPr>
        <w:jc w:val="left"/>
      </w:pPr>
      <w:r>
        <w:rPr>
          <w:b/>
        </w:rPr>
        <w:t>Option A: Bestreitung Bandenabrede</w:t>
      </w:r>
    </w:p>
    <w:p>
      <w:pPr>
        <w:pStyle w:val="ListBullet"/>
      </w:pPr>
      <w:r>
        <w:t>Einlassung: Drebenstedt war "Fahrer", hat aber keine Bandenabrede als solche getroffen; kein "Bandenmitglied"</w:t>
      </w:r>
    </w:p>
    <w:p>
      <w:pPr>
        <w:pStyle w:val="ListBullet"/>
      </w:pPr>
      <w:r>
        <w:t>Ziel: Verurteilung nur aus § 250 Abs. 1 (ohne Bande) = niedrigerer Strafrahmen</w:t>
      </w:r>
    </w:p>
    <w:p>
      <w:pPr>
        <w:pStyle w:val="ListBullet"/>
      </w:pPr>
      <w:r>
        <w:t>Chance: TKUe-Beweise zeigen nur Fahrertätigkeit, keine Bandengrundsatzgespräche</w:t>
      </w:r>
    </w:p>
    <w:p>
      <w:pPr>
        <w:jc w:val="left"/>
      </w:pPr>
      <w:r>
        <w:rPr>
          <w:b/>
        </w:rPr>
        <w:t>Option B: Verständigung anstreben</w:t>
      </w:r>
    </w:p>
    <w:p>
      <w:pPr>
        <w:pStyle w:val="ListBullet"/>
      </w:pPr>
      <w:r>
        <w:t>Geständnis Drebenstedt als Fahrer ohne Bandenabrede</w:t>
      </w:r>
    </w:p>
    <w:p>
      <w:pPr>
        <w:pStyle w:val="ListBullet"/>
      </w:pPr>
      <w:r>
        <w:t>Gestandnis: Kenntnis des Plans (schwerer Raub), aber keine aktive Gewaltbeteiligung</w:t>
      </w:r>
    </w:p>
    <w:p>
      <w:pPr>
        <w:pStyle w:val="ListBullet"/>
      </w:pPr>
      <w:r>
        <w:t>Ziel: 5 Jahre 6 Monate, Reststrafaussetzung nach 2/3</w:t>
      </w:r>
    </w:p>
    <w:p>
      <w:pPr>
        <w:pStyle w:val="Heading3"/>
      </w:pPr>
      <w:r>
        <w:rPr>
          <w:rFonts w:ascii="Times New Roman" w:hAnsi="Times New Roman"/>
        </w:rPr>
        <w:t>2.3 Krasniqi — Strategie Dr. Mohnsen-Stoeber</w:t>
      </w:r>
    </w:p>
    <w:p>
      <w:pPr>
        <w:jc w:val="left"/>
      </w:pPr>
      <w:r>
        <w:rPr>
          <w:b/>
        </w:rPr>
        <w:t>Option A (bevorzugt): Verständigung § 257c StPO</w:t>
      </w:r>
    </w:p>
    <w:p>
      <w:pPr>
        <w:pStyle w:val="ListBullet"/>
      </w:pPr>
      <w:r>
        <w:t>Geständnis Präsenz und Vorab-Fotos (Rekognoszierung zugeben)</w:t>
      </w:r>
    </w:p>
    <w:p>
      <w:pPr>
        <w:pStyle w:val="ListBullet"/>
      </w:pPr>
      <w:r>
        <w:t>Ziel: § 250 Abs. 3 StGB, max. 4 Jahre, Bewährungsaussetzung § 57 StGB</w:t>
      </w:r>
    </w:p>
    <w:p>
      <w:pPr>
        <w:pStyle w:val="ListBullet"/>
      </w:pPr>
      <w:r>
        <w:t>Risiko: Geständnis nutzt anderen Beschuldigten (koordinieren)</w:t>
      </w:r>
    </w:p>
    <w:p>
      <w:pPr>
        <w:jc w:val="left"/>
      </w:pPr>
      <w:r>
        <w:rPr>
          <w:b/>
        </w:rPr>
        <w:t>Option B: Kampfverteidigung Sternkopf</w:t>
      </w:r>
    </w:p>
    <w:p>
      <w:pPr>
        <w:pStyle w:val="ListBullet"/>
      </w:pPr>
      <w:r>
        <w:t>Sternkopf-Gutachten: Gegenüberstellung nicht valide; keine andere Identifizierung</w:t>
      </w:r>
    </w:p>
    <w:p>
      <w:pPr>
        <w:pStyle w:val="ListBullet"/>
      </w:pPr>
      <w:r>
        <w:t>Ohne Gegenüberstellung: TKUe G-14 bleibt, aber ist mehrdeutig ("alles ruhig, eine Verkäufer die ältere" — konnte allgemeiner Stadtspaziergang sein)</w:t>
      </w:r>
    </w:p>
    <w:p>
      <w:pPr>
        <w:pStyle w:val="ListBullet"/>
      </w:pPr>
      <w:r>
        <w:t>Risiko: TKUe G-14 ist stark belastend, auch ohne Gegenüberstellung</w:t>
      </w:r>
    </w:p>
    <w:p/>
    <w:p>
      <w:pPr>
        <w:pStyle w:val="Heading2"/>
      </w:pPr>
      <w:r>
        <w:rPr>
          <w:rFonts w:ascii="Times New Roman" w:hAnsi="Times New Roman"/>
        </w:rPr>
        <w:t>3. Kooperationsrisiken unter den Beschuldigten</w:t>
      </w:r>
    </w:p>
    <w:p>
      <w:pPr>
        <w:pStyle w:val="Heading3"/>
      </w:pPr>
      <w:r>
        <w:rPr>
          <w:rFonts w:ascii="Times New Roman" w:hAnsi="Times New Roman"/>
        </w:rPr>
        <w:t>3.1 Verstaendigungs-Dominoeffekt</w:t>
      </w:r>
    </w:p>
    <w:p>
      <w:pPr>
        <w:jc w:val="left"/>
      </w:pPr>
      <w:r>
        <w:t>Eine Verständigung Krasniqis könnte die Gesamtstrategie destabilisieren:</w:t>
      </w:r>
    </w:p>
    <w:p>
      <w:pPr>
        <w:pStyle w:val="ListBullet"/>
      </w:pPr>
      <w:r>
        <w:t>Krasniqis Geständnis bestätigte die Tatortpraesenz aller Beschuldigten</w:t>
      </w:r>
    </w:p>
    <w:p>
      <w:pPr>
        <w:pStyle w:val="ListBullet"/>
      </w:pPr>
      <w:r>
        <w:t>Es könnte Drebenstedts Einlassung ("nur zufällig da") contraproduktiv sein</w:t>
      </w:r>
    </w:p>
    <w:p>
      <w:pPr>
        <w:pStyle w:val="ListBullet"/>
      </w:pPr>
      <w:r>
        <w:t>Dr. Schorlemmer hat Dr. Mohnsen-Stoeber gebeten, das Geständnis auf Krasniqis eigene Rolle zu beschränken und keine Angaben zu Drebenstedt oder Korbiel zu machen</w:t>
      </w:r>
    </w:p>
    <w:p>
      <w:pPr>
        <w:pStyle w:val="Heading3"/>
      </w:pPr>
      <w:r>
        <w:rPr>
          <w:rFonts w:ascii="Times New Roman" w:hAnsi="Times New Roman"/>
        </w:rPr>
        <w:t>3.2 Zeugenbelastung durch Mitbeschuldigte</w:t>
      </w:r>
    </w:p>
    <w:p>
      <w:pPr>
        <w:jc w:val="left"/>
      </w:pPr>
      <w:r>
        <w:t>Gefahr: Einer der Beschuldigten könnte "Kronzeugen-ähnlich" gegen die anderen aussagen, um das eigene Strafmass zu senken. Bisher keine derartigen Signale, aber Drebenstedt hat in Vernehmung II (§ 136 StPO, 02.11.2025) andeutungsweise Iordache als "Kopf" bezeichnet. RA Steinbach hat diese Aussage nicht autorisiert und in der Folge Schweigen angeordnet.</w:t>
      </w:r>
    </w:p>
    <w:p/>
    <w:p>
      <w:pPr>
        <w:pStyle w:val="Heading2"/>
      </w:pPr>
      <w:r>
        <w:rPr>
          <w:rFonts w:ascii="Times New Roman" w:hAnsi="Times New Roman"/>
        </w:rPr>
        <w:t>4. Zeitkritische Verfahrensschritte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Schritt</w:t>
            </w:r>
          </w:p>
        </w:tc>
        <w:tc>
          <w:tcPr>
            <w:tcW w:type="dxa" w:w="3024"/>
          </w:tcPr>
          <w:p>
            <w:r>
              <w:rPr>
                <w:rFonts w:ascii="Times New Roman" w:hAnsi="Times New Roman"/>
                <w:b/>
                <w:sz w:val="20"/>
              </w:rPr>
              <w:t>Deadline / Datum</w:t>
            </w:r>
          </w:p>
        </w:tc>
        <w:tc>
          <w:tcPr>
            <w:tcW w:type="dxa" w:w="3024"/>
          </w:tcPr>
          <w:p>
            <w:r>
              <w:rPr>
                <w:rFonts w:ascii="Times New Roman" w:hAnsi="Times New Roman"/>
                <w:b/>
                <w:sz w:val="20"/>
              </w:rPr>
              <w:t>Verantwortlich</w:t>
            </w:r>
          </w:p>
        </w:tc>
      </w:tr>
      <w:tr>
        <w:tc>
          <w:tcPr>
            <w:tcW w:type="dxa" w:w="3024"/>
          </w:tcPr>
          <w:p>
            <w:r>
              <w:rPr>
                <w:rFonts w:ascii="Times New Roman" w:hAnsi="Times New Roman"/>
                <w:sz w:val="20"/>
              </w:rPr>
              <w:t>Beschwerde EncroChat LG Stuttgart Az. 4 Qs 22/26</w:t>
            </w:r>
          </w:p>
        </w:tc>
        <w:tc>
          <w:tcPr>
            <w:tcW w:type="dxa" w:w="3024"/>
          </w:tcPr>
          <w:p>
            <w:r>
              <w:rPr>
                <w:rFonts w:ascii="Times New Roman" w:hAnsi="Times New Roman"/>
                <w:sz w:val="20"/>
              </w:rPr>
              <w:t>Entscheidung erwartet Feb. 2026</w:t>
            </w:r>
          </w:p>
        </w:tc>
        <w:tc>
          <w:tcPr>
            <w:tcW w:type="dxa" w:w="3024"/>
          </w:tcPr>
          <w:p>
            <w:r>
              <w:rPr>
                <w:rFonts w:ascii="Times New Roman" w:hAnsi="Times New Roman"/>
                <w:sz w:val="20"/>
              </w:rPr>
              <w:t>LG Stuttgart</w:t>
            </w:r>
          </w:p>
        </w:tc>
      </w:tr>
      <w:tr>
        <w:tc>
          <w:tcPr>
            <w:tcW w:type="dxa" w:w="3024"/>
          </w:tcPr>
          <w:p>
            <w:r>
              <w:rPr>
                <w:rFonts w:ascii="Times New Roman" w:hAnsi="Times New Roman"/>
                <w:sz w:val="20"/>
              </w:rPr>
              <w:t>Erneuerter Aussetzungsantrag Krasniqi</w:t>
            </w:r>
          </w:p>
        </w:tc>
        <w:tc>
          <w:tcPr>
            <w:tcW w:type="dxa" w:w="3024"/>
          </w:tcPr>
          <w:p>
            <w:r>
              <w:rPr>
                <w:rFonts w:ascii="Times New Roman" w:hAnsi="Times New Roman"/>
                <w:sz w:val="20"/>
              </w:rPr>
              <w:t>Bis 15.02.2026 einreichen</w:t>
            </w:r>
          </w:p>
        </w:tc>
        <w:tc>
          <w:tcPr>
            <w:tcW w:type="dxa" w:w="3024"/>
          </w:tcPr>
          <w:p>
            <w:r>
              <w:rPr>
                <w:rFonts w:ascii="Times New Roman" w:hAnsi="Times New Roman"/>
                <w:sz w:val="20"/>
              </w:rPr>
              <w:t>Dr. Mohnsen-Stoeber</w:t>
            </w:r>
          </w:p>
        </w:tc>
      </w:tr>
      <w:tr>
        <w:tc>
          <w:tcPr>
            <w:tcW w:type="dxa" w:w="3024"/>
          </w:tcPr>
          <w:p>
            <w:r>
              <w:rPr>
                <w:rFonts w:ascii="Times New Roman" w:hAnsi="Times New Roman"/>
                <w:sz w:val="20"/>
              </w:rPr>
              <w:t>Gegengutachten DNA beauftragen</w:t>
            </w:r>
          </w:p>
        </w:tc>
        <w:tc>
          <w:tcPr>
            <w:tcW w:type="dxa" w:w="3024"/>
          </w:tcPr>
          <w:p>
            <w:r>
              <w:rPr>
                <w:rFonts w:ascii="Times New Roman" w:hAnsi="Times New Roman"/>
                <w:sz w:val="20"/>
              </w:rPr>
              <w:t>Bis 20.02.2026</w:t>
            </w:r>
          </w:p>
        </w:tc>
        <w:tc>
          <w:tcPr>
            <w:tcW w:type="dxa" w:w="3024"/>
          </w:tcPr>
          <w:p>
            <w:r>
              <w:rPr>
                <w:rFonts w:ascii="Times New Roman" w:hAnsi="Times New Roman"/>
                <w:sz w:val="20"/>
              </w:rPr>
              <w:t>Dr. Schorlemmer</w:t>
            </w:r>
          </w:p>
        </w:tc>
      </w:tr>
      <w:tr>
        <w:tc>
          <w:tcPr>
            <w:tcW w:type="dxa" w:w="3024"/>
          </w:tcPr>
          <w:p>
            <w:r>
              <w:rPr>
                <w:rFonts w:ascii="Times New Roman" w:hAnsi="Times New Roman"/>
                <w:sz w:val="20"/>
              </w:rPr>
              <w:t>Sternkopf-Gutachten final</w:t>
            </w:r>
          </w:p>
        </w:tc>
        <w:tc>
          <w:tcPr>
            <w:tcW w:type="dxa" w:w="3024"/>
          </w:tcPr>
          <w:p>
            <w:r>
              <w:rPr>
                <w:rFonts w:ascii="Times New Roman" w:hAnsi="Times New Roman"/>
                <w:sz w:val="20"/>
              </w:rPr>
              <w:t>28.02.2026</w:t>
            </w:r>
          </w:p>
        </w:tc>
        <w:tc>
          <w:tcPr>
            <w:tcW w:type="dxa" w:w="3024"/>
          </w:tcPr>
          <w:p>
            <w:r>
              <w:rPr>
                <w:rFonts w:ascii="Times New Roman" w:hAnsi="Times New Roman"/>
                <w:sz w:val="20"/>
              </w:rPr>
              <w:t>Prof. Dr. Sternkopf</w:t>
            </w:r>
          </w:p>
        </w:tc>
      </w:tr>
      <w:tr>
        <w:tc>
          <w:tcPr>
            <w:tcW w:type="dxa" w:w="3024"/>
          </w:tcPr>
          <w:p>
            <w:r>
              <w:rPr>
                <w:rFonts w:ascii="Times New Roman" w:hAnsi="Times New Roman"/>
                <w:sz w:val="20"/>
              </w:rPr>
              <w:t>Nächste Verstaendigungs-Sondierung</w:t>
            </w:r>
          </w:p>
        </w:tc>
        <w:tc>
          <w:tcPr>
            <w:tcW w:type="dxa" w:w="3024"/>
          </w:tcPr>
          <w:p>
            <w:r>
              <w:rPr>
                <w:rFonts w:ascii="Times New Roman" w:hAnsi="Times New Roman"/>
                <w:sz w:val="20"/>
              </w:rPr>
              <w:t>20.02.2026</w:t>
            </w:r>
          </w:p>
        </w:tc>
        <w:tc>
          <w:tcPr>
            <w:tcW w:type="dxa" w:w="3024"/>
          </w:tcPr>
          <w:p>
            <w:r>
              <w:rPr>
                <w:rFonts w:ascii="Times New Roman" w:hAnsi="Times New Roman"/>
                <w:sz w:val="20"/>
              </w:rPr>
              <w:t>Dr. Mohnsen-Stoeber + Gericht</w:t>
            </w:r>
          </w:p>
        </w:tc>
      </w:tr>
      <w:tr>
        <w:tc>
          <w:tcPr>
            <w:tcW w:type="dxa" w:w="3024"/>
          </w:tcPr>
          <w:p>
            <w:r>
              <w:rPr>
                <w:rFonts w:ascii="Times New Roman" w:hAnsi="Times New Roman"/>
                <w:sz w:val="20"/>
              </w:rPr>
              <w:t>Erinnerung Rechtshilfe Polen</w:t>
            </w:r>
          </w:p>
        </w:tc>
        <w:tc>
          <w:tcPr>
            <w:tcW w:type="dxa" w:w="3024"/>
          </w:tcPr>
          <w:p>
            <w:r>
              <w:rPr>
                <w:rFonts w:ascii="Times New Roman" w:hAnsi="Times New Roman"/>
                <w:sz w:val="20"/>
              </w:rPr>
              <w:t>15.02.2026</w:t>
            </w:r>
          </w:p>
        </w:tc>
        <w:tc>
          <w:tcPr>
            <w:tcW w:type="dxa" w:w="3024"/>
          </w:tcPr>
          <w:p>
            <w:r>
              <w:rPr>
                <w:rFonts w:ascii="Times New Roman" w:hAnsi="Times New Roman"/>
                <w:sz w:val="20"/>
              </w:rPr>
              <w:t>StA Stuttgart</w:t>
            </w:r>
          </w:p>
        </w:tc>
      </w:tr>
      <w:tr>
        <w:tc>
          <w:tcPr>
            <w:tcW w:type="dxa" w:w="3024"/>
          </w:tcPr>
          <w:p>
            <w:r>
              <w:rPr>
                <w:rFonts w:ascii="Times New Roman" w:hAnsi="Times New Roman"/>
                <w:sz w:val="20"/>
              </w:rPr>
              <w:t>Terminierung HV (geplant Mai 2026)</w:t>
            </w:r>
          </w:p>
        </w:tc>
        <w:tc>
          <w:tcPr>
            <w:tcW w:type="dxa" w:w="3024"/>
          </w:tcPr>
          <w:p>
            <w:r>
              <w:rPr>
                <w:rFonts w:ascii="Times New Roman" w:hAnsi="Times New Roman"/>
                <w:sz w:val="20"/>
              </w:rPr>
              <w:t>Abstimmung LG Stuttgart</w:t>
            </w:r>
          </w:p>
        </w:tc>
        <w:tc>
          <w:tcPr>
            <w:tcW w:type="dxa" w:w="3024"/>
          </w:tcPr>
          <w:p>
            <w:r>
              <w:rPr>
                <w:rFonts w:ascii="Times New Roman" w:hAnsi="Times New Roman"/>
                <w:sz w:val="20"/>
              </w:rPr>
              <w:t>Alle Parteien</w:t>
            </w:r>
          </w:p>
        </w:tc>
      </w:tr>
    </w:tbl>
    <w:p/>
    <w:p>
      <w:pPr>
        <w:pStyle w:val="Heading2"/>
      </w:pPr>
      <w:r>
        <w:rPr>
          <w:rFonts w:ascii="Times New Roman" w:hAnsi="Times New Roman"/>
        </w:rPr>
        <w:t>5. Best-Case / Worst-Case Szenarien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Beschuldigter</w:t>
            </w:r>
          </w:p>
        </w:tc>
        <w:tc>
          <w:tcPr>
            <w:tcW w:type="dxa" w:w="3024"/>
          </w:tcPr>
          <w:p>
            <w:r>
              <w:rPr>
                <w:rFonts w:ascii="Times New Roman" w:hAnsi="Times New Roman"/>
                <w:b/>
                <w:sz w:val="20"/>
              </w:rPr>
              <w:t>Best Case (Verteidigung)</w:t>
            </w:r>
          </w:p>
        </w:tc>
        <w:tc>
          <w:tcPr>
            <w:tcW w:type="dxa" w:w="3024"/>
          </w:tcPr>
          <w:p>
            <w:r>
              <w:rPr>
                <w:rFonts w:ascii="Times New Roman" w:hAnsi="Times New Roman"/>
                <w:b/>
                <w:sz w:val="20"/>
              </w:rPr>
              <w:t>Worst Case</w:t>
            </w:r>
          </w:p>
        </w:tc>
      </w:tr>
      <w:tr>
        <w:tc>
          <w:tcPr>
            <w:tcW w:type="dxa" w:w="3024"/>
          </w:tcPr>
          <w:p>
            <w:r>
              <w:rPr>
                <w:rFonts w:ascii="Times New Roman" w:hAnsi="Times New Roman"/>
                <w:sz w:val="20"/>
              </w:rPr>
              <w:t>Korbiel</w:t>
            </w:r>
          </w:p>
        </w:tc>
        <w:tc>
          <w:tcPr>
            <w:tcW w:type="dxa" w:w="3024"/>
          </w:tcPr>
          <w:p>
            <w:r>
              <w:rPr>
                <w:rFonts w:ascii="Times New Roman" w:hAnsi="Times New Roman"/>
                <w:sz w:val="20"/>
              </w:rPr>
              <w:t>Teilfreispruch Bande, § 250 Abs. 1 StGB, 4 Jahre</w:t>
            </w:r>
          </w:p>
        </w:tc>
        <w:tc>
          <w:tcPr>
            <w:tcW w:type="dxa" w:w="3024"/>
          </w:tcPr>
          <w:p>
            <w:r>
              <w:rPr>
                <w:rFonts w:ascii="Times New Roman" w:hAnsi="Times New Roman"/>
                <w:sz w:val="20"/>
              </w:rPr>
              <w:t>§ 250 Abs. 2 StGB, 9 Jahre</w:t>
            </w:r>
          </w:p>
        </w:tc>
      </w:tr>
      <w:tr>
        <w:tc>
          <w:tcPr>
            <w:tcW w:type="dxa" w:w="3024"/>
          </w:tcPr>
          <w:p>
            <w:r>
              <w:rPr>
                <w:rFonts w:ascii="Times New Roman" w:hAnsi="Times New Roman"/>
                <w:sz w:val="20"/>
              </w:rPr>
              <w:t>Drebenstedt</w:t>
            </w:r>
          </w:p>
        </w:tc>
        <w:tc>
          <w:tcPr>
            <w:tcW w:type="dxa" w:w="3024"/>
          </w:tcPr>
          <w:p>
            <w:r>
              <w:rPr>
                <w:rFonts w:ascii="Times New Roman" w:hAnsi="Times New Roman"/>
                <w:sz w:val="20"/>
              </w:rPr>
              <w:t>§ 250 Abs. 1 StGB ohne Bande, 4 Jahre</w:t>
            </w:r>
          </w:p>
        </w:tc>
        <w:tc>
          <w:tcPr>
            <w:tcW w:type="dxa" w:w="3024"/>
          </w:tcPr>
          <w:p>
            <w:r>
              <w:rPr>
                <w:rFonts w:ascii="Times New Roman" w:hAnsi="Times New Roman"/>
                <w:sz w:val="20"/>
              </w:rPr>
              <w:t>§ 250 Abs. 2 StGB, 8 Jahre</w:t>
            </w:r>
          </w:p>
        </w:tc>
      </w:tr>
      <w:tr>
        <w:tc>
          <w:tcPr>
            <w:tcW w:type="dxa" w:w="3024"/>
          </w:tcPr>
          <w:p>
            <w:r>
              <w:rPr>
                <w:rFonts w:ascii="Times New Roman" w:hAnsi="Times New Roman"/>
                <w:sz w:val="20"/>
              </w:rPr>
              <w:t>Iordache</w:t>
            </w:r>
          </w:p>
        </w:tc>
        <w:tc>
          <w:tcPr>
            <w:tcW w:type="dxa" w:w="3024"/>
          </w:tcPr>
          <w:p>
            <w:r>
              <w:rPr>
                <w:rFonts w:ascii="Times New Roman" w:hAnsi="Times New Roman"/>
                <w:sz w:val="20"/>
              </w:rPr>
              <w:t>Verfahren ausgesetzt (flüchtig)</w:t>
            </w:r>
          </w:p>
        </w:tc>
        <w:tc>
          <w:tcPr>
            <w:tcW w:type="dxa" w:w="3024"/>
          </w:tcPr>
          <w:p>
            <w:r>
              <w:rPr>
                <w:rFonts w:ascii="Times New Roman" w:hAnsi="Times New Roman"/>
                <w:sz w:val="20"/>
              </w:rPr>
              <w:t>12 Jahre in absentia (theoretisch)</w:t>
            </w:r>
          </w:p>
        </w:tc>
      </w:tr>
      <w:tr>
        <w:tc>
          <w:tcPr>
            <w:tcW w:type="dxa" w:w="3024"/>
          </w:tcPr>
          <w:p>
            <w:r>
              <w:rPr>
                <w:rFonts w:ascii="Times New Roman" w:hAnsi="Times New Roman"/>
                <w:sz w:val="20"/>
              </w:rPr>
              <w:t>Krasniqi</w:t>
            </w:r>
          </w:p>
        </w:tc>
        <w:tc>
          <w:tcPr>
            <w:tcW w:type="dxa" w:w="3024"/>
          </w:tcPr>
          <w:p>
            <w:r>
              <w:rPr>
                <w:rFonts w:ascii="Times New Roman" w:hAnsi="Times New Roman"/>
                <w:sz w:val="20"/>
              </w:rPr>
              <w:t>§ 250 Abs. 3 StGB, 2 J. 6 Mon. + Bewährung</w:t>
            </w:r>
          </w:p>
        </w:tc>
        <w:tc>
          <w:tcPr>
            <w:tcW w:type="dxa" w:w="3024"/>
          </w:tcPr>
          <w:p>
            <w:r>
              <w:rPr>
                <w:rFonts w:ascii="Times New Roman" w:hAnsi="Times New Roman"/>
                <w:sz w:val="20"/>
              </w:rPr>
              <w:t>§ 250 Abs. 2 StGB, 6 Jahre</w:t>
            </w:r>
          </w:p>
        </w:tc>
      </w:tr>
    </w:tbl>
    <w:p>
      <w:pPr>
        <w:jc w:val="left"/>
      </w:pPr>
      <w:r>
        <w:rPr>
          <w:b/>
        </w:rPr>
        <w:t>Quellen:</w:t>
      </w:r>
      <w:r>
        <w:t xml:space="preserve"> § 250 StGB (dejure.org); BGH NStZ 2022, 178 (Risikoanalyse Strafverteidigung); BGH 5 StR 200/19 (Kooperation zwischen Beschuldigten); § 46 StGB (dejure.org).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