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— Haftprüfung und Haftfortdauer: Beschlüsse und Chronologie</w:t>
      </w:r>
    </w:p>
    <w:p>
      <w:pPr>
        <w:jc w:val="left"/>
      </w:pPr>
      <w:r>
        <w:rPr>
          <w:b/>
        </w:rPr>
        <w:t>Verfahren:</w:t>
      </w:r>
      <w:r>
        <w:t xml:space="preserve"> StA Stuttgart 4 Js 18.422/26 / AG Stuttgart / LG Stuttgart</w:t>
      </w:r>
    </w:p>
    <w:p>
      <w:pPr>
        <w:jc w:val="left"/>
      </w:pPr>
      <w:r>
        <w:rPr>
          <w:b/>
        </w:rPr>
        <w:t>Bearbeitung:</w:t>
      </w:r>
      <w:r>
        <w:t xml:space="preserve"> Alle Verteidiger</w:t>
      </w:r>
    </w:p>
    <w:p>
      <w:pPr>
        <w:jc w:val="left"/>
      </w:pPr>
      <w:r>
        <w:rPr>
          <w:b/>
        </w:rPr>
        <w:t>Stand:</w:t>
      </w:r>
      <w:r>
        <w:t xml:space="preserve"> 13.02.2026</w:t>
      </w:r>
    </w:p>
    <w:p/>
    <w:p>
      <w:pPr>
        <w:pStyle w:val="Heading2"/>
      </w:pPr>
      <w:r>
        <w:rPr>
          <w:rFonts w:ascii="Times New Roman" w:hAnsi="Times New Roman"/>
        </w:rPr>
        <w:t>1. Haftbefehle — Erlass und Inhalt</w:t>
      </w:r>
    </w:p>
    <w:p>
      <w:pPr>
        <w:pStyle w:val="Heading3"/>
      </w:pPr>
      <w:r>
        <w:rPr>
          <w:rFonts w:ascii="Times New Roman" w:hAnsi="Times New Roman"/>
        </w:rPr>
        <w:t>1.1 Korbiel (JVA Stammheim)</w:t>
      </w:r>
    </w:p>
    <w:p>
      <w:pPr>
        <w:jc w:val="left"/>
      </w:pPr>
      <w:r>
        <w:rPr>
          <w:b/>
        </w:rPr>
        <w:t>Haftbefehl:</w:t>
      </w:r>
      <w:r>
        <w:t xml:space="preserve"> AG Stuttgart, Az. 2025-2904 U/1, erlassen 20.10.2025, ER Meschede</w:t>
      </w:r>
    </w:p>
    <w:p>
      <w:pPr>
        <w:jc w:val="left"/>
      </w:pPr>
      <w:r>
        <w:rPr>
          <w:b/>
        </w:rPr>
        <w:t>Haftgründe:</w:t>
      </w:r>
    </w:p>
    <w:p>
      <w:pPr>
        <w:pStyle w:val="ListBullet"/>
      </w:pPr>
      <w:r>
        <w:t>Fluchtgefahr (§ 112 Abs. 2 Nr. 2 StPO): Korbiel ist polnischer Staatsangehöriger ohne festen Wohnsitz in Deutschland (Zimmermiete auf 1 Monat); Verbindungen nach Polen und mutmasslich in internationale Bandennetzwerke; zu erwartende hohe Freiheitsstrafe (mind. 5 Jahre) erhöhe Fluchtanreiz erheblich</w:t>
      </w:r>
    </w:p>
    <w:p>
      <w:pPr>
        <w:pStyle w:val="ListBullet"/>
      </w:pPr>
      <w:r>
        <w:t>Verdunklungsgefahr (§ 112 Abs. 2 Nr. 3 StPO): Gefahr der Absprache mit anderen Beschuldigten; Beeinflussung von Zeugen (Goldhofer-Egenter); Manipulation des noch nicht entschlusselten Handys (SP-007)</w:t>
      </w:r>
    </w:p>
    <w:p>
      <w:pPr>
        <w:jc w:val="left"/>
      </w:pPr>
      <w:r>
        <w:rPr>
          <w:b/>
        </w:rPr>
        <w:t>Haftdauer</w:t>
      </w:r>
      <w:r>
        <w:t xml:space="preserve"> (Stand 13.02.2026): 116 Tage (seit 20.10.2025)</w:t>
      </w:r>
    </w:p>
    <w:p>
      <w:pPr>
        <w:jc w:val="left"/>
      </w:pPr>
      <w:r>
        <w:rPr>
          <w:b/>
        </w:rPr>
        <w:t>6-Monats-Grenze (§ 121 StPO):</w:t>
      </w:r>
      <w:r>
        <w:t xml:space="preserve"> Am 20.04.2026 ist die 6-Monats-Grenze erreicht. Bei diesem Datum muss das OLG Stuttgart die Haftfortdauer über 6 Monate hinaus genehmigen (§ 121 Abs. 1 StPO: nur bei "besonderer Schwierigkeit oder Umfang" oder "wichtigem Grund"). Dies ist bei vorliegendem Sammelverfahren mit 22 Verhandlungstagen aller Voraussicht nach möglich, aber muss beantragt werden.</w:t>
      </w:r>
    </w:p>
    <w:p>
      <w:pPr>
        <w:pStyle w:val="Heading3"/>
      </w:pPr>
      <w:r>
        <w:rPr>
          <w:rFonts w:ascii="Times New Roman" w:hAnsi="Times New Roman"/>
        </w:rPr>
        <w:t>1.2 Krasniqi (JVA Schwäbisch Gmuend)</w:t>
      </w:r>
    </w:p>
    <w:p>
      <w:pPr>
        <w:jc w:val="left"/>
      </w:pPr>
      <w:r>
        <w:rPr>
          <w:b/>
        </w:rPr>
        <w:t>Haftbefehl:</w:t>
      </w:r>
      <w:r>
        <w:t xml:space="preserve"> AG Stuttgart, Az. 2025-2904 U/2, erlassen 20.10.2025, ER Meschede</w:t>
      </w:r>
    </w:p>
    <w:p>
      <w:pPr>
        <w:jc w:val="left"/>
      </w:pPr>
      <w:r>
        <w:rPr>
          <w:b/>
        </w:rPr>
        <w:t>Haftgründe:</w:t>
      </w:r>
    </w:p>
    <w:p>
      <w:pPr>
        <w:pStyle w:val="ListBullet"/>
      </w:pPr>
      <w:r>
        <w:t>Fluchtgefahr: Kosovarische Staatsangehörige, kein fester Wohnsitz in Deutschland, internationale Verbindungen</w:t>
      </w:r>
    </w:p>
    <w:p>
      <w:pPr>
        <w:pStyle w:val="ListBullet"/>
      </w:pPr>
      <w:r>
        <w:t>Dringender Tatverdacht: § 250 Abs. 2 Nr. 1 StGB</w:t>
      </w:r>
    </w:p>
    <w:p>
      <w:pPr>
        <w:jc w:val="left"/>
      </w:pPr>
      <w:r>
        <w:rPr>
          <w:b/>
        </w:rPr>
        <w:t>Besonderheit Schwangerschaft:</w:t>
      </w:r>
      <w:r>
        <w:t xml:space="preserve"> Haftprüfung nach § 117 StPO erfolgte am 17.12.2025 (AG Stuttgart, Beschluss: Haftbefehl aufrechterhalten; Mutter-Kind-Einheit zu prüfen). LG Stuttgart Beschwerde: Haftfortdauer bestätigt 19.01.2026 (vgl. AS 11).</w:t>
      </w:r>
    </w:p>
    <w:p>
      <w:pPr>
        <w:jc w:val="left"/>
      </w:pPr>
      <w:r>
        <w:rPr>
          <w:b/>
        </w:rPr>
        <w:t>6-Monats-Grenze:</w:t>
      </w:r>
      <w:r>
        <w:t xml:space="preserve"> Am 20.04.2026 (gleicher Termin wie Korbiel).</w:t>
      </w:r>
    </w:p>
    <w:p>
      <w:pPr>
        <w:jc w:val="left"/>
      </w:pPr>
      <w:r>
        <w:rPr>
          <w:b/>
        </w:rPr>
        <w:t>Problem:</w:t>
      </w:r>
      <w:r>
        <w:t xml:space="preserve"> Bei voraussichtlichem Entbindungstermin Ende Mai 2026 wird Krasniqi bei HV-Beginn Mai 2026 hoch schwanger sein. Mögliche Alternative: Entbindung während Hauptverhandlung. Sonderlosung muss mit LG Stuttgart abgestimmt werden (§ 231a StPO: kurze Abwesenheit moglich).</w:t>
      </w:r>
    </w:p>
    <w:p/>
    <w:p>
      <w:pPr>
        <w:pStyle w:val="Heading2"/>
      </w:pPr>
      <w:r>
        <w:rPr>
          <w:rFonts w:ascii="Times New Roman" w:hAnsi="Times New Roman"/>
        </w:rPr>
        <w:t>2. Haftpruefungs-Chronologie</w:t>
      </w:r>
    </w:p>
    <w:p>
      <w:pPr>
        <w:pStyle w:val="Heading3"/>
      </w:pPr>
      <w:r>
        <w:rPr>
          <w:rFonts w:ascii="Times New Roman" w:hAnsi="Times New Roman"/>
        </w:rPr>
        <w:t>2.1 Korbiel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Beschluss/Az.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20.10.2025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Haftbefehlserlass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Fluchtgefahr, Verdunklungsgefahr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Stuttgart 2025-2904 U/1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03.11.2025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Mandatsuebernahme, Sofortbeschwerde gegen HB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Einlegung Beschwerde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14.11.2025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 Haftbeschwerde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HB aufrechterhalten; Fluchtgefahr 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 4 Qs 14/25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10.12.2025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Haftprüfungsantrag § 117 StPO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22.12.2025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Stuttgart Beschluss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HB aufrechterhalten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Nächste Haftprüfung (geplant)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6-Monats-Grenze § 121 StPO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OLG-Vorlage erforderlich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Krasniqi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Beschluss/Az.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20.10.2025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Haftbefehlserlass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Fluchtgefahr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Stuttgart 2025-2904 U/2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05.12.2025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Haftprüfungsantrag § 117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HB aufrechterhalten; Mutter-Kind-Einheit Hinweis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AG Stuttgart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28.12.2025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Haftbeschwerde 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Bestätigung Haftfortdauer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 4 Qs 18/26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Mutter-Kind-Einheit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Eingereicht;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JVA / LG Stuttgart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Aussetzungsantrag (neuer, 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6-Monats-Grenze § 121 StPO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OLG-Vorlage erforderlich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Vollzugsbedingungen</w:t>
      </w:r>
    </w:p>
    <w:p>
      <w:pPr>
        <w:pStyle w:val="Heading3"/>
      </w:pPr>
      <w:r>
        <w:rPr>
          <w:rFonts w:ascii="Times New Roman" w:hAnsi="Times New Roman"/>
        </w:rPr>
        <w:t>3.1 Korbiel (JVA Stammheim)</w:t>
      </w:r>
    </w:p>
    <w:p>
      <w:pPr>
        <w:jc w:val="left"/>
      </w:pPr>
      <w:r>
        <w:t>Korbiel ist in Einzelhaft (§ 119 Abs. 1 StPO: Kontaktverbot zu anderen Beschuldigten). Besuche durch Dr. Schorlemmer: wochentlich 1 Stunde. Sprachbarriere: Korbiel spricht kaum Deutsch; Dolmetscherin Jana Ryszkowiak wurde gemäß § 187 GVG für alle Vernehmungen und Anwaltsgespräche beigeordnet.</w:t>
      </w:r>
    </w:p>
    <w:p>
      <w:pPr>
        <w:jc w:val="left"/>
      </w:pPr>
      <w:r>
        <w:rPr>
          <w:b/>
        </w:rPr>
        <w:t>Kontaktverbot:</w:t>
      </w:r>
      <w:r>
        <w:t xml:space="preserve"> AG Stuttgart hat gemäß § 119 Abs. 3 StPO Kontaktverbot zu anderen Beschuldigten und zu Personen aus dem Umfeld Iordaches angeordnet.</w:t>
      </w:r>
    </w:p>
    <w:p>
      <w:pPr>
        <w:pStyle w:val="Heading3"/>
      </w:pPr>
      <w:r>
        <w:rPr>
          <w:rFonts w:ascii="Times New Roman" w:hAnsi="Times New Roman"/>
        </w:rPr>
        <w:t>3.2 Drebenstedt (kein U-Haft, Kontaktverbot)</w:t>
      </w:r>
    </w:p>
    <w:p>
      <w:pPr>
        <w:jc w:val="left"/>
      </w:pPr>
      <w:r>
        <w:t>Drebenstedt befindet sich nicht in Untersuchungshaft. Er unterliegt jedoch einem Kontaktverbot nach § 116 Abs. 1 Nr. 2 StPO (Verbot der Kommunikation mit Korbiel, Iordache und Krasniqi). RA Steinbach hat begründet dargelegt, dass Drebenstedt auch ohne U-Haft verfahrenskonform verhalten wird (eigene Meldepflicht 2x/Woche beim zust. PP Stuttgart).</w:t>
      </w:r>
    </w:p>
    <w:p/>
    <w:p>
      <w:pPr>
        <w:pStyle w:val="Heading2"/>
      </w:pPr>
      <w:r>
        <w:rPr>
          <w:rFonts w:ascii="Times New Roman" w:hAnsi="Times New Roman"/>
        </w:rPr>
        <w:t>4. OLG-Vorlage nach § 121 StPO</w:t>
      </w:r>
    </w:p>
    <w:p>
      <w:pPr>
        <w:jc w:val="left"/>
      </w:pPr>
      <w:r>
        <w:t>Die OLG-Vorlage nach § 121 StPO muss von der Staatsanwaltschaft spestens 1 Monat vor Ablauf (also bis 20.03.2026) beantragt werden. Dr. Schorlemmer und Dr. Mohnsen-Stoeber werden gegenüber der Vorlage Stellung nehmen:</w:t>
      </w:r>
    </w:p>
    <w:p>
      <w:pPr>
        <w:jc w:val="left"/>
      </w:pPr>
      <w:r>
        <w:rPr>
          <w:b/>
        </w:rPr>
        <w:t>Stellungnahme geplante Argumente:</w:t>
      </w:r>
    </w:p>
    <w:p>
      <w:pPr>
        <w:pStyle w:val="ListNumber"/>
      </w:pPr>
      <w:r>
        <w:t>Die 6-Monats-Grenze ist auch bei komplexen Verfahren ernst zu nehmen (BVerfG NJW 2008, 2919: Haftdauer muss verhaeltnismaessig sein)</w:t>
      </w:r>
    </w:p>
    <w:p>
      <w:pPr>
        <w:pStyle w:val="ListNumber"/>
      </w:pPr>
      <w:r>
        <w:t>Das Verfahren könnte schneller terminiert werden, wenn das Gericht frühere Termine anbietet</w:t>
      </w:r>
    </w:p>
    <w:p>
      <w:pPr>
        <w:pStyle w:val="ListNumber"/>
      </w:pPr>
      <w:r>
        <w:t>Bei Krasniqi: Entbindung Ende Mai 2026 — U-Haft bis OLG-Vorlage und darüber hinaus ist mit Art. 6 GG und § 72a StPO unverhaehnismaessig</w:t>
      </w:r>
    </w:p>
    <w:p>
      <w:pPr>
        <w:jc w:val="left"/>
      </w:pPr>
      <w:r>
        <w:rPr>
          <w:b/>
        </w:rPr>
        <w:t>Quellen:</w:t>
      </w:r>
      <w:r>
        <w:t xml:space="preserve"> § 112 StPO, § 116 StPO, § 117 StPO, § 119 StPO, § 121 StPO (dejure.org); § 72a StPO (dejure.org); BVerfG NJW 2008, 2919 (Haftdauer Verhaeltnismaessigkeit); BVerfG NJW 2019, 905 (U-Haft Mutter kleiner Kinder); § 187 GVG (Dolmetscher).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