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22 — Verfahrensstand, Abschluss-Chronologie und Ausblick</w:t>
      </w:r>
    </w:p>
    <w:p>
      <w:pPr>
        <w:jc w:val="left"/>
      </w:pPr>
      <w:r>
        <w:rPr>
          <w:b/>
        </w:rPr>
        <w:t>Verfahren:</w:t>
      </w:r>
      <w:r>
        <w:t xml:space="preserve"> KLs 4 Js 18.422/26 — LG Stuttgart 4. Grosse Strafkammer</w:t>
      </w:r>
    </w:p>
    <w:p>
      <w:pPr>
        <w:jc w:val="left"/>
      </w:pPr>
      <w:r>
        <w:rPr>
          <w:b/>
        </w:rPr>
        <w:t>Stichtag dieser Akte:</w:t>
      </w:r>
      <w:r>
        <w:t xml:space="preserve"> 14.02.2026</w:t>
      </w:r>
    </w:p>
    <w:p>
      <w:pPr>
        <w:jc w:val="left"/>
      </w:pPr>
      <w:r>
        <w:rPr>
          <w:b/>
        </w:rPr>
        <w:t>Gesamtbearbeitung:</w:t>
      </w:r>
      <w:r>
        <w:t xml:space="preserve"> Alle Beteiligten</w:t>
      </w:r>
    </w:p>
    <w:p/>
    <w:p>
      <w:pPr>
        <w:pStyle w:val="Heading2"/>
      </w:pPr>
      <w:r>
        <w:rPr>
          <w:rFonts w:ascii="Times New Roman" w:hAnsi="Times New Roman"/>
        </w:rPr>
        <w:t>1. Aktueller Verfahrensstand (Stand 14.02.2026)</w:t>
      </w:r>
    </w:p>
    <w:p>
      <w:pPr>
        <w:pStyle w:val="Heading3"/>
      </w:pPr>
      <w:r>
        <w:rPr>
          <w:rFonts w:ascii="Times New Roman" w:hAnsi="Times New Roman"/>
        </w:rPr>
        <w:t>1.1 Offene Verfahrensschritte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Schritt</w:t>
            </w:r>
          </w:p>
        </w:tc>
        <w:tc>
          <w:tcPr>
            <w:tcW w:type="dxa" w:w="3024"/>
          </w:tcPr>
          <w:p>
            <w:r>
              <w:rPr>
                <w:rFonts w:ascii="Times New Roman" w:hAnsi="Times New Roman"/>
                <w:b/>
                <w:sz w:val="20"/>
              </w:rPr>
              <w:t>Status</w:t>
            </w:r>
          </w:p>
        </w:tc>
        <w:tc>
          <w:tcPr>
            <w:tcW w:type="dxa" w:w="3024"/>
          </w:tcPr>
          <w:p>
            <w:r>
              <w:rPr>
                <w:rFonts w:ascii="Times New Roman" w:hAnsi="Times New Roman"/>
                <w:b/>
                <w:sz w:val="20"/>
              </w:rPr>
              <w:t>Erwartet</w:t>
            </w:r>
          </w:p>
        </w:tc>
      </w:tr>
      <w:tr>
        <w:tc>
          <w:tcPr>
            <w:tcW w:type="dxa" w:w="3024"/>
          </w:tcPr>
          <w:p>
            <w:r>
              <w:rPr>
                <w:rFonts w:ascii="Times New Roman" w:hAnsi="Times New Roman"/>
                <w:sz w:val="20"/>
              </w:rPr>
              <w:t>Akteneinsicht SB ECC</w:t>
            </w:r>
          </w:p>
        </w:tc>
        <w:tc>
          <w:tcPr>
            <w:tcW w:type="dxa" w:w="3024"/>
          </w:tcPr>
          <w:p>
            <w:r>
              <w:rPr>
                <w:rFonts w:ascii="Times New Roman" w:hAnsi="Times New Roman"/>
                <w:sz w:val="20"/>
              </w:rPr>
              <w:t>Gesperrt; Beschwerde LG Stuttgart 4 Qs 22/26</w:t>
            </w:r>
          </w:p>
        </w:tc>
        <w:tc>
          <w:tcPr>
            <w:tcW w:type="dxa" w:w="3024"/>
          </w:tcPr>
          <w:p>
            <w:r>
              <w:rPr>
                <w:rFonts w:ascii="Times New Roman" w:hAnsi="Times New Roman"/>
                <w:sz w:val="20"/>
              </w:rPr>
              <w:t>Entscheidung Feb. 2026</w:t>
            </w:r>
          </w:p>
        </w:tc>
      </w:tr>
      <w:tr>
        <w:tc>
          <w:tcPr>
            <w:tcW w:type="dxa" w:w="3024"/>
          </w:tcPr>
          <w:p>
            <w:r>
              <w:rPr>
                <w:rFonts w:ascii="Times New Roman" w:hAnsi="Times New Roman"/>
                <w:sz w:val="20"/>
              </w:rPr>
              <w:t>Aussetzungsantrag Krasniqi (neu)</w:t>
            </w:r>
          </w:p>
        </w:tc>
        <w:tc>
          <w:tcPr>
            <w:tcW w:type="dxa" w:w="3024"/>
          </w:tcPr>
          <w:p>
            <w:r>
              <w:rPr>
                <w:rFonts w:ascii="Times New Roman" w:hAnsi="Times New Roman"/>
                <w:sz w:val="20"/>
              </w:rPr>
              <w:t>Vorbereitung Dr. Mohnsen-Stoeber</w:t>
            </w:r>
          </w:p>
        </w:tc>
        <w:tc>
          <w:tcPr>
            <w:tcW w:type="dxa" w:w="3024"/>
          </w:tcPr>
          <w:p>
            <w:r>
              <w:rPr>
                <w:rFonts w:ascii="Times New Roman" w:hAnsi="Times New Roman"/>
                <w:sz w:val="20"/>
              </w:rPr>
              <w:t>Einreichung 15.02.2026</w:t>
            </w:r>
          </w:p>
        </w:tc>
      </w:tr>
      <w:tr>
        <w:tc>
          <w:tcPr>
            <w:tcW w:type="dxa" w:w="3024"/>
          </w:tcPr>
          <w:p>
            <w:r>
              <w:rPr>
                <w:rFonts w:ascii="Times New Roman" w:hAnsi="Times New Roman"/>
                <w:sz w:val="20"/>
              </w:rPr>
              <w:t>Gegengutachten DNA</w:t>
            </w:r>
          </w:p>
        </w:tc>
        <w:tc>
          <w:tcPr>
            <w:tcW w:type="dxa" w:w="3024"/>
          </w:tcPr>
          <w:p>
            <w:r>
              <w:rPr>
                <w:rFonts w:ascii="Times New Roman" w:hAnsi="Times New Roman"/>
                <w:sz w:val="20"/>
              </w:rPr>
              <w:t>In Beauftragung</w:t>
            </w:r>
          </w:p>
        </w:tc>
        <w:tc>
          <w:tcPr>
            <w:tcW w:type="dxa" w:w="3024"/>
          </w:tcPr>
          <w:p>
            <w:r>
              <w:rPr>
                <w:rFonts w:ascii="Times New Roman" w:hAnsi="Times New Roman"/>
                <w:sz w:val="20"/>
              </w:rPr>
              <w:t>Auftragserteilung 20.02.2026</w:t>
            </w:r>
          </w:p>
        </w:tc>
      </w:tr>
      <w:tr>
        <w:tc>
          <w:tcPr>
            <w:tcW w:type="dxa" w:w="3024"/>
          </w:tcPr>
          <w:p>
            <w:r>
              <w:rPr>
                <w:rFonts w:ascii="Times New Roman" w:hAnsi="Times New Roman"/>
                <w:sz w:val="20"/>
              </w:rPr>
              <w:t>Sternkopf-Gutachten final</w:t>
            </w:r>
          </w:p>
        </w:tc>
        <w:tc>
          <w:tcPr>
            <w:tcW w:type="dxa" w:w="3024"/>
          </w:tcPr>
          <w:p>
            <w:r>
              <w:rPr>
                <w:rFonts w:ascii="Times New Roman" w:hAnsi="Times New Roman"/>
                <w:sz w:val="20"/>
              </w:rPr>
              <w:t>Vorentwurf vorliegend</w:t>
            </w:r>
          </w:p>
        </w:tc>
        <w:tc>
          <w:tcPr>
            <w:tcW w:type="dxa" w:w="3024"/>
          </w:tcPr>
          <w:p>
            <w:r>
              <w:rPr>
                <w:rFonts w:ascii="Times New Roman" w:hAnsi="Times New Roman"/>
                <w:sz w:val="20"/>
              </w:rPr>
              <w:t>28.02.2026</w:t>
            </w:r>
          </w:p>
        </w:tc>
      </w:tr>
      <w:tr>
        <w:tc>
          <w:tcPr>
            <w:tcW w:type="dxa" w:w="3024"/>
          </w:tcPr>
          <w:p>
            <w:r>
              <w:rPr>
                <w:rFonts w:ascii="Times New Roman" w:hAnsi="Times New Roman"/>
                <w:sz w:val="20"/>
              </w:rPr>
              <w:t>Verstaendigungs-Sondierung Krasniqi</w:t>
            </w:r>
          </w:p>
        </w:tc>
        <w:tc>
          <w:tcPr>
            <w:tcW w:type="dxa" w:w="3024"/>
          </w:tcPr>
          <w:p>
            <w:r>
              <w:rPr>
                <w:rFonts w:ascii="Times New Roman" w:hAnsi="Times New Roman"/>
                <w:sz w:val="20"/>
              </w:rPr>
              <w:t>Geplant</w:t>
            </w:r>
          </w:p>
        </w:tc>
        <w:tc>
          <w:tcPr>
            <w:tcW w:type="dxa" w:w="3024"/>
          </w:tcPr>
          <w:p>
            <w:r>
              <w:rPr>
                <w:rFonts w:ascii="Times New Roman" w:hAnsi="Times New Roman"/>
                <w:sz w:val="20"/>
              </w:rPr>
              <w:t>20.02.2026</w:t>
            </w:r>
          </w:p>
        </w:tc>
      </w:tr>
      <w:tr>
        <w:tc>
          <w:tcPr>
            <w:tcW w:type="dxa" w:w="3024"/>
          </w:tcPr>
          <w:p>
            <w:r>
              <w:rPr>
                <w:rFonts w:ascii="Times New Roman" w:hAnsi="Times New Roman"/>
                <w:sz w:val="20"/>
              </w:rPr>
              <w:t>Rechtshilfe Polen (Urteile Korbiel)</w:t>
            </w:r>
          </w:p>
        </w:tc>
        <w:tc>
          <w:tcPr>
            <w:tcW w:type="dxa" w:w="3024"/>
          </w:tcPr>
          <w:p>
            <w:r>
              <w:rPr>
                <w:rFonts w:ascii="Times New Roman" w:hAnsi="Times New Roman"/>
                <w:sz w:val="20"/>
              </w:rPr>
              <w:t>Eingegangen: Teilergebnis; vollständig ausstehend</w:t>
            </w:r>
          </w:p>
        </w:tc>
        <w:tc>
          <w:tcPr>
            <w:tcW w:type="dxa" w:w="3024"/>
          </w:tcPr>
          <w:p>
            <w:r>
              <w:rPr>
                <w:rFonts w:ascii="Times New Roman" w:hAnsi="Times New Roman"/>
                <w:sz w:val="20"/>
              </w:rPr>
              <w:t>28.02.2026</w:t>
            </w:r>
          </w:p>
        </w:tc>
      </w:tr>
      <w:tr>
        <w:tc>
          <w:tcPr>
            <w:tcW w:type="dxa" w:w="3024"/>
          </w:tcPr>
          <w:p>
            <w:r>
              <w:rPr>
                <w:rFonts w:ascii="Times New Roman" w:hAnsi="Times New Roman"/>
                <w:sz w:val="20"/>
              </w:rPr>
              <w:t>Rechtshilfe Rumänien / Interpol Iordache</w:t>
            </w:r>
          </w:p>
        </w:tc>
        <w:tc>
          <w:tcPr>
            <w:tcW w:type="dxa" w:w="3024"/>
          </w:tcPr>
          <w:p>
            <w:r>
              <w:rPr>
                <w:rFonts w:ascii="Times New Roman" w:hAnsi="Times New Roman"/>
                <w:sz w:val="20"/>
              </w:rPr>
              <w:t>Ausstehend</w:t>
            </w:r>
          </w:p>
        </w:tc>
        <w:tc>
          <w:tcPr>
            <w:tcW w:type="dxa" w:w="3024"/>
          </w:tcPr>
          <w:p>
            <w:r>
              <w:rPr>
                <w:rFonts w:ascii="Times New Roman" w:hAnsi="Times New Roman"/>
                <w:sz w:val="20"/>
              </w:rPr>
              <w:t>Unbestimmt</w:t>
            </w:r>
          </w:p>
        </w:tc>
      </w:tr>
      <w:tr>
        <w:tc>
          <w:tcPr>
            <w:tcW w:type="dxa" w:w="3024"/>
          </w:tcPr>
          <w:p>
            <w:r>
              <w:rPr>
                <w:rFonts w:ascii="Times New Roman" w:hAnsi="Times New Roman"/>
                <w:sz w:val="20"/>
              </w:rPr>
              <w:t>Terminierung HV LG Stuttgart</w:t>
            </w:r>
          </w:p>
        </w:tc>
        <w:tc>
          <w:tcPr>
            <w:tcW w:type="dxa" w:w="3024"/>
          </w:tcPr>
          <w:p>
            <w:r>
              <w:rPr>
                <w:rFonts w:ascii="Times New Roman" w:hAnsi="Times New Roman"/>
                <w:sz w:val="20"/>
              </w:rPr>
              <w:t>In Abstimmung</w:t>
            </w:r>
          </w:p>
        </w:tc>
        <w:tc>
          <w:tcPr>
            <w:tcW w:type="dxa" w:w="3024"/>
          </w:tcPr>
          <w:p>
            <w:r>
              <w:rPr>
                <w:rFonts w:ascii="Times New Roman" w:hAnsi="Times New Roman"/>
                <w:sz w:val="20"/>
              </w:rPr>
              <w:t>Mai/Juni 2026 (ca. 22 HVT)</w:t>
            </w:r>
          </w:p>
        </w:tc>
      </w:tr>
      <w:tr>
        <w:tc>
          <w:tcPr>
            <w:tcW w:type="dxa" w:w="3024"/>
          </w:tcPr>
          <w:p>
            <w:r>
              <w:rPr>
                <w:rFonts w:ascii="Times New Roman" w:hAnsi="Times New Roman"/>
                <w:sz w:val="20"/>
              </w:rPr>
              <w:t>OLG-Vorlage § 121 StPO (U-Haft Korbiel + Krasniqi)</w:t>
            </w:r>
          </w:p>
        </w:tc>
        <w:tc>
          <w:tcPr>
            <w:tcW w:type="dxa" w:w="3024"/>
          </w:tcPr>
          <w:p>
            <w:r>
              <w:rPr>
                <w:rFonts w:ascii="Times New Roman" w:hAnsi="Times New Roman"/>
                <w:sz w:val="20"/>
              </w:rPr>
              <w:t>Vorzubereiten</w:t>
            </w:r>
          </w:p>
        </w:tc>
        <w:tc>
          <w:tcPr>
            <w:tcW w:type="dxa" w:w="3024"/>
          </w:tcPr>
          <w:p>
            <w:r>
              <w:rPr>
                <w:rFonts w:ascii="Times New Roman" w:hAnsi="Times New Roman"/>
                <w:sz w:val="20"/>
              </w:rPr>
              <w:t>Antrag StA bis 20.03.2026</w:t>
            </w:r>
          </w:p>
        </w:tc>
      </w:tr>
    </w:tbl>
    <w:p>
      <w:pPr>
        <w:pStyle w:val="Heading3"/>
      </w:pPr>
      <w:r>
        <w:rPr>
          <w:rFonts w:ascii="Times New Roman" w:hAnsi="Times New Roman"/>
        </w:rPr>
        <w:t>1.2 Wesentliche offene Rechtsfragen</w:t>
      </w:r>
    </w:p>
    <w:p>
      <w:pPr>
        <w:pStyle w:val="ListNumber"/>
      </w:pPr>
      <w:r>
        <w:rPr>
          <w:b/>
        </w:rPr>
        <w:t>EncroChat-Verwertbarkeit:</w:t>
      </w:r>
      <w:r>
        <w:t xml:space="preserve"> Entscheidend für Nachweis Bandenabrede und Nutzeridentität. Beschwerde Az. 4 Qs 22/26 offenbart klare Abgrenzungsfrage (EEA-Vorlage vs. § 96 StPO).</w:t>
      </w:r>
    </w:p>
    <w:p>
      <w:pPr>
        <w:pStyle w:val="ListNumber"/>
      </w:pPr>
      <w:r>
        <w:rPr>
          <w:b/>
        </w:rPr>
        <w:t>Minder schwerer Fall Krasniqi (§ 250 Abs. 3 StGB):</w:t>
      </w:r>
      <w:r>
        <w:t xml:space="preserve"> Hängt ab von Beweiswuerdigung Tatrolle (Sternkopf-Gutachten; TKUe G-14).</w:t>
      </w:r>
    </w:p>
    <w:p>
      <w:pPr>
        <w:pStyle w:val="ListNumber"/>
      </w:pPr>
      <w:r>
        <w:rPr>
          <w:b/>
        </w:rPr>
        <w:t>Selbständige Einziehung BTC Iordache (§ 76a StGB):</w:t>
      </w:r>
      <w:r>
        <w:t xml:space="preserve"> Falls Iordache nicht gefasst; Durchsetzbarkeit gegen nicht-erschienenen Beschuldigten.</w:t>
      </w:r>
    </w:p>
    <w:p>
      <w:pPr>
        <w:pStyle w:val="ListNumber"/>
      </w:pPr>
      <w:r>
        <w:rPr>
          <w:b/>
        </w:rPr>
        <w:t>Internationalrechtshilfe-Timing:</w:t>
      </w:r>
      <w:r>
        <w:t xml:space="preserve"> Werden polnische Vorstrafen und rumänische Erkenntnisse rechtzeitig für die Hauptverhandlung vorliegen?</w:t>
      </w:r>
    </w:p>
    <w:p/>
    <w:p>
      <w:pPr>
        <w:pStyle w:val="Heading2"/>
      </w:pPr>
      <w:r>
        <w:rPr>
          <w:rFonts w:ascii="Times New Roman" w:hAnsi="Times New Roman"/>
        </w:rPr>
        <w:t>2. Zeitachse Hauptverhandlung (Prognose)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Zeitraum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März 2026</w:t>
            </w:r>
          </w:p>
        </w:tc>
        <w:tc>
          <w:tcPr>
            <w:tcW w:type="dxa" w:w="4536"/>
          </w:tcPr>
          <w:p>
            <w:r>
              <w:rPr>
                <w:rFonts w:ascii="Times New Roman" w:hAnsi="Times New Roman"/>
                <w:sz w:val="20"/>
              </w:rPr>
              <w:t>Sternkopf-Gutachten abgeschlossen; Entscheidung LG EncroChat-Beschwerde</w:t>
            </w:r>
          </w:p>
        </w:tc>
      </w:tr>
      <w:tr>
        <w:tc>
          <w:tcPr>
            <w:tcW w:type="dxa" w:w="4536"/>
          </w:tcPr>
          <w:p>
            <w:r>
              <w:rPr>
                <w:rFonts w:ascii="Times New Roman" w:hAnsi="Times New Roman"/>
                <w:sz w:val="20"/>
              </w:rPr>
              <w:t>April 2026</w:t>
            </w:r>
          </w:p>
        </w:tc>
        <w:tc>
          <w:tcPr>
            <w:tcW w:type="dxa" w:w="4536"/>
          </w:tcPr>
          <w:p>
            <w:r>
              <w:rPr>
                <w:rFonts w:ascii="Times New Roman" w:hAnsi="Times New Roman"/>
                <w:sz w:val="20"/>
              </w:rPr>
              <w:t>OLG Stuttgart Haftfortdauer (§ 121 StPO) für Korbiel und Krasniqi</w:t>
            </w:r>
          </w:p>
        </w:tc>
      </w:tr>
      <w:tr>
        <w:tc>
          <w:tcPr>
            <w:tcW w:type="dxa" w:w="4536"/>
          </w:tcPr>
          <w:p>
            <w:r>
              <w:rPr>
                <w:rFonts w:ascii="Times New Roman" w:hAnsi="Times New Roman"/>
                <w:sz w:val="20"/>
              </w:rPr>
              <w:t>April/Mai 2026</w:t>
            </w:r>
          </w:p>
        </w:tc>
        <w:tc>
          <w:tcPr>
            <w:tcW w:type="dxa" w:w="4536"/>
          </w:tcPr>
          <w:p>
            <w:r>
              <w:rPr>
                <w:rFonts w:ascii="Times New Roman" w:hAnsi="Times New Roman"/>
                <w:sz w:val="20"/>
              </w:rPr>
              <w:t>Entbindung Krasniqi (Ende Mai 2026 erwartet); Koordination mit LG</w:t>
            </w:r>
          </w:p>
        </w:tc>
      </w:tr>
      <w:tr>
        <w:tc>
          <w:tcPr>
            <w:tcW w:type="dxa" w:w="4536"/>
          </w:tcPr>
          <w:p>
            <w:r>
              <w:rPr>
                <w:rFonts w:ascii="Times New Roman" w:hAnsi="Times New Roman"/>
                <w:sz w:val="20"/>
              </w:rPr>
              <w:t>Mai/Juni 2026</w:t>
            </w:r>
          </w:p>
        </w:tc>
        <w:tc>
          <w:tcPr>
            <w:tcW w:type="dxa" w:w="4536"/>
          </w:tcPr>
          <w:p>
            <w:r>
              <w:rPr>
                <w:rFonts w:ascii="Times New Roman" w:hAnsi="Times New Roman"/>
                <w:sz w:val="20"/>
              </w:rPr>
              <w:t>Beginn HV, LG Stuttgart 4. Grosse Strafkammer (voraussichtlich 22 HVT)</w:t>
            </w:r>
          </w:p>
        </w:tc>
      </w:tr>
      <w:tr>
        <w:tc>
          <w:tcPr>
            <w:tcW w:type="dxa" w:w="4536"/>
          </w:tcPr>
          <w:p>
            <w:r>
              <w:rPr>
                <w:rFonts w:ascii="Times New Roman" w:hAnsi="Times New Roman"/>
                <w:sz w:val="20"/>
              </w:rPr>
              <w:t>Juli 2026</w:t>
            </w:r>
          </w:p>
        </w:tc>
        <w:tc>
          <w:tcPr>
            <w:tcW w:type="dxa" w:w="4536"/>
          </w:tcPr>
          <w:p>
            <w:r>
              <w:rPr>
                <w:rFonts w:ascii="Times New Roman" w:hAnsi="Times New Roman"/>
                <w:sz w:val="20"/>
              </w:rPr>
              <w:t>HVT 8–12 (Zeugenbefragungen, Sachverständige)</w:t>
            </w:r>
          </w:p>
        </w:tc>
      </w:tr>
      <w:tr>
        <w:tc>
          <w:tcPr>
            <w:tcW w:type="dxa" w:w="4536"/>
          </w:tcPr>
          <w:p>
            <w:r>
              <w:rPr>
                <w:rFonts w:ascii="Times New Roman" w:hAnsi="Times New Roman"/>
                <w:sz w:val="20"/>
              </w:rPr>
              <w:t>August 2026</w:t>
            </w:r>
          </w:p>
        </w:tc>
        <w:tc>
          <w:tcPr>
            <w:tcW w:type="dxa" w:w="4536"/>
          </w:tcPr>
          <w:p>
            <w:r>
              <w:rPr>
                <w:rFonts w:ascii="Times New Roman" w:hAnsi="Times New Roman"/>
                <w:sz w:val="20"/>
              </w:rPr>
              <w:t>HVT 13–18 (Beweisanträge, Verständigung)</w:t>
            </w:r>
          </w:p>
        </w:tc>
      </w:tr>
      <w:tr>
        <w:tc>
          <w:tcPr>
            <w:tcW w:type="dxa" w:w="4536"/>
          </w:tcPr>
          <w:p>
            <w:r>
              <w:rPr>
                <w:rFonts w:ascii="Times New Roman" w:hAnsi="Times New Roman"/>
                <w:sz w:val="20"/>
              </w:rPr>
              <w:t>September 2026</w:t>
            </w:r>
          </w:p>
        </w:tc>
        <w:tc>
          <w:tcPr>
            <w:tcW w:type="dxa" w:w="4536"/>
          </w:tcPr>
          <w:p>
            <w:r>
              <w:rPr>
                <w:rFonts w:ascii="Times New Roman" w:hAnsi="Times New Roman"/>
                <w:sz w:val="20"/>
              </w:rPr>
              <w:t>HVT 19–22 (Plädoyers, Urteil)</w:t>
            </w:r>
          </w:p>
        </w:tc>
      </w:tr>
    </w:tbl>
    <w:p/>
    <w:p>
      <w:pPr>
        <w:pStyle w:val="Heading2"/>
      </w:pPr>
      <w:r>
        <w:rPr>
          <w:rFonts w:ascii="Times New Roman" w:hAnsi="Times New Roman"/>
        </w:rPr>
        <w:t>3. Gesamtübersicht Aktenstücke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Datei</w:t>
            </w:r>
          </w:p>
        </w:tc>
        <w:tc>
          <w:tcPr>
            <w:tcW w:type="dxa" w:w="3024"/>
          </w:tcPr>
          <w:p>
            <w:r>
              <w:rPr>
                <w:rFonts w:ascii="Times New Roman" w:hAnsi="Times New Roman"/>
                <w:b/>
                <w:sz w:val="20"/>
              </w:rPr>
              <w:t>Inhalt</w:t>
            </w:r>
          </w:p>
        </w:tc>
      </w:tr>
      <w:tr>
        <w:tc>
          <w:tcPr>
            <w:tcW w:type="dxa" w:w="3024"/>
          </w:tcPr>
          <w:p>
            <w:r>
              <w:rPr>
                <w:rFonts w:ascii="Times New Roman" w:hAnsi="Times New Roman"/>
                <w:sz w:val="20"/>
              </w:rPr>
              <w:t>01</w:t>
            </w:r>
          </w:p>
        </w:tc>
        <w:tc>
          <w:tcPr>
            <w:tcW w:type="dxa" w:w="3024"/>
          </w:tcPr>
          <w:p>
            <w:r>
              <w:rPr>
                <w:rFonts w:ascii="Times New Roman" w:hAnsi="Times New Roman"/>
                <w:sz w:val="20"/>
              </w:rPr>
              <w:t>01_aktenaufnahme_initial_strukturierung.md</w:t>
            </w:r>
          </w:p>
        </w:tc>
        <w:tc>
          <w:tcPr>
            <w:tcW w:type="dxa" w:w="3024"/>
          </w:tcPr>
          <w:p>
            <w:r>
              <w:rPr>
                <w:rFonts w:ascii="Times New Roman" w:hAnsi="Times New Roman"/>
                <w:sz w:val="20"/>
              </w:rPr>
              <w:t>Mandatsuebernahme, Chronologie, Struktur</w:t>
            </w:r>
          </w:p>
        </w:tc>
      </w:tr>
      <w:tr>
        <w:tc>
          <w:tcPr>
            <w:tcW w:type="dxa" w:w="3024"/>
          </w:tcPr>
          <w:p>
            <w:r>
              <w:rPr>
                <w:rFonts w:ascii="Times New Roman" w:hAnsi="Times New Roman"/>
                <w:sz w:val="20"/>
              </w:rPr>
              <w:t>02</w:t>
            </w:r>
          </w:p>
        </w:tc>
        <w:tc>
          <w:tcPr>
            <w:tcW w:type="dxa" w:w="3024"/>
          </w:tcPr>
          <w:p>
            <w:r>
              <w:rPr>
                <w:rFonts w:ascii="Times New Roman" w:hAnsi="Times New Roman"/>
                <w:sz w:val="20"/>
              </w:rPr>
              <w:t>02_beweismittelverzeichnis_zeugen_spuren_fza_dna.md</w:t>
            </w:r>
          </w:p>
        </w:tc>
        <w:tc>
          <w:tcPr>
            <w:tcW w:type="dxa" w:w="3024"/>
          </w:tcPr>
          <w:p>
            <w:r>
              <w:rPr>
                <w:rFonts w:ascii="Times New Roman" w:hAnsi="Times New Roman"/>
                <w:sz w:val="20"/>
              </w:rPr>
              <w:t>Zeugen, Spuren, FZA, DNA</w:t>
            </w:r>
          </w:p>
        </w:tc>
      </w:tr>
      <w:tr>
        <w:tc>
          <w:tcPr>
            <w:tcW w:type="dxa" w:w="3024"/>
          </w:tcPr>
          <w:p>
            <w:r>
              <w:rPr>
                <w:rFonts w:ascii="Times New Roman" w:hAnsi="Times New Roman"/>
                <w:sz w:val="20"/>
              </w:rPr>
              <w:t>03</w:t>
            </w:r>
          </w:p>
        </w:tc>
        <w:tc>
          <w:tcPr>
            <w:tcW w:type="dxa" w:w="3024"/>
          </w:tcPr>
          <w:p>
            <w:r>
              <w:rPr>
                <w:rFonts w:ascii="Times New Roman" w:hAnsi="Times New Roman"/>
                <w:sz w:val="20"/>
              </w:rPr>
              <w:t>03_encrochat_skyecc_bandenstruktur_verwertbarkeit.md</w:t>
            </w:r>
          </w:p>
        </w:tc>
        <w:tc>
          <w:tcPr>
            <w:tcW w:type="dxa" w:w="3024"/>
          </w:tcPr>
          <w:p>
            <w:r>
              <w:rPr>
                <w:rFonts w:ascii="Times New Roman" w:hAnsi="Times New Roman"/>
                <w:sz w:val="20"/>
              </w:rPr>
              <w:t>EncroChat/SkyECC, BGH 5 StR 457/21</w:t>
            </w:r>
          </w:p>
        </w:tc>
      </w:tr>
      <w:tr>
        <w:tc>
          <w:tcPr>
            <w:tcW w:type="dxa" w:w="3024"/>
          </w:tcPr>
          <w:p>
            <w:r>
              <w:rPr>
                <w:rFonts w:ascii="Times New Roman" w:hAnsi="Times New Roman"/>
                <w:sz w:val="20"/>
              </w:rPr>
              <w:t>04</w:t>
            </w:r>
          </w:p>
        </w:tc>
        <w:tc>
          <w:tcPr>
            <w:tcW w:type="dxa" w:w="3024"/>
          </w:tcPr>
          <w:p>
            <w:r>
              <w:rPr>
                <w:rFonts w:ascii="Times New Roman" w:hAnsi="Times New Roman"/>
                <w:sz w:val="20"/>
              </w:rPr>
              <w:t>04_tkue_protokolle_auswertung.md</w:t>
            </w:r>
          </w:p>
        </w:tc>
        <w:tc>
          <w:tcPr>
            <w:tcW w:type="dxa" w:w="3024"/>
          </w:tcPr>
          <w:p>
            <w:r>
              <w:rPr>
                <w:rFonts w:ascii="Times New Roman" w:hAnsi="Times New Roman"/>
                <w:sz w:val="20"/>
              </w:rPr>
              <w:t>TKUe-Protokolle, Gespräche, Gegenargumente</w:t>
            </w:r>
          </w:p>
        </w:tc>
      </w:tr>
      <w:tr>
        <w:tc>
          <w:tcPr>
            <w:tcW w:type="dxa" w:w="3024"/>
          </w:tcPr>
          <w:p>
            <w:r>
              <w:rPr>
                <w:rFonts w:ascii="Times New Roman" w:hAnsi="Times New Roman"/>
                <w:sz w:val="20"/>
              </w:rPr>
              <w:t>05</w:t>
            </w:r>
          </w:p>
        </w:tc>
        <w:tc>
          <w:tcPr>
            <w:tcW w:type="dxa" w:w="3024"/>
          </w:tcPr>
          <w:p>
            <w:r>
              <w:rPr>
                <w:rFonts w:ascii="Times New Roman" w:hAnsi="Times New Roman"/>
                <w:sz w:val="20"/>
              </w:rPr>
              <w:t>05_observationsberichte_korbiel_vor_tat.md</w:t>
            </w:r>
          </w:p>
        </w:tc>
        <w:tc>
          <w:tcPr>
            <w:tcW w:type="dxa" w:w="3024"/>
          </w:tcPr>
          <w:p>
            <w:r>
              <w:rPr>
                <w:rFonts w:ascii="Times New Roman" w:hAnsi="Times New Roman"/>
                <w:sz w:val="20"/>
              </w:rPr>
              <w:t>21 Tage Observation, § 163f StPO</w:t>
            </w:r>
          </w:p>
        </w:tc>
      </w:tr>
      <w:tr>
        <w:tc>
          <w:tcPr>
            <w:tcW w:type="dxa" w:w="3024"/>
          </w:tcPr>
          <w:p>
            <w:r>
              <w:rPr>
                <w:rFonts w:ascii="Times New Roman" w:hAnsi="Times New Roman"/>
                <w:sz w:val="20"/>
              </w:rPr>
              <w:t>06</w:t>
            </w:r>
          </w:p>
        </w:tc>
        <w:tc>
          <w:tcPr>
            <w:tcW w:type="dxa" w:w="3024"/>
          </w:tcPr>
          <w:p>
            <w:r>
              <w:rPr>
                <w:rFonts w:ascii="Times New Roman" w:hAnsi="Times New Roman"/>
                <w:sz w:val="20"/>
              </w:rPr>
              <w:t>06_videoaufzeichnungen_koenigstrasse_auswertung.md</w:t>
            </w:r>
          </w:p>
        </w:tc>
        <w:tc>
          <w:tcPr>
            <w:tcW w:type="dxa" w:w="3024"/>
          </w:tcPr>
          <w:p>
            <w:r>
              <w:rPr>
                <w:rFonts w:ascii="Times New Roman" w:hAnsi="Times New Roman"/>
                <w:sz w:val="20"/>
              </w:rPr>
              <w:t>Stadtcam, Cafe Westermann, Identifizierung</w:t>
            </w:r>
          </w:p>
        </w:tc>
      </w:tr>
      <w:tr>
        <w:tc>
          <w:tcPr>
            <w:tcW w:type="dxa" w:w="3024"/>
          </w:tcPr>
          <w:p>
            <w:r>
              <w:rPr>
                <w:rFonts w:ascii="Times New Roman" w:hAnsi="Times New Roman"/>
                <w:sz w:val="20"/>
              </w:rPr>
              <w:t>07</w:t>
            </w:r>
          </w:p>
        </w:tc>
        <w:tc>
          <w:tcPr>
            <w:tcW w:type="dxa" w:w="3024"/>
          </w:tcPr>
          <w:p>
            <w:r>
              <w:rPr>
                <w:rFonts w:ascii="Times New Roman" w:hAnsi="Times New Roman"/>
                <w:sz w:val="20"/>
              </w:rPr>
              <w:t>07_geldwaesche_btc_hawala_transaktionen.md</w:t>
            </w:r>
          </w:p>
        </w:tc>
        <w:tc>
          <w:tcPr>
            <w:tcW w:type="dxa" w:w="3024"/>
          </w:tcPr>
          <w:p>
            <w:r>
              <w:rPr>
                <w:rFonts w:ascii="Times New Roman" w:hAnsi="Times New Roman"/>
                <w:sz w:val="20"/>
              </w:rPr>
              <w:t>BTC-Chain-Analysis, Hawala, § 261 StGB</w:t>
            </w:r>
          </w:p>
        </w:tc>
      </w:tr>
      <w:tr>
        <w:tc>
          <w:tcPr>
            <w:tcW w:type="dxa" w:w="3024"/>
          </w:tcPr>
          <w:p>
            <w:r>
              <w:rPr>
                <w:rFonts w:ascii="Times New Roman" w:hAnsi="Times New Roman"/>
                <w:sz w:val="20"/>
              </w:rPr>
              <w:t>08</w:t>
            </w:r>
          </w:p>
        </w:tc>
        <w:tc>
          <w:tcPr>
            <w:tcW w:type="dxa" w:w="3024"/>
          </w:tcPr>
          <w:p>
            <w:r>
              <w:rPr>
                <w:rFonts w:ascii="Times New Roman" w:hAnsi="Times New Roman"/>
                <w:sz w:val="20"/>
              </w:rPr>
              <w:t>08_akteneinsicht_147_stpo_protokoll.md</w:t>
            </w:r>
          </w:p>
        </w:tc>
        <w:tc>
          <w:tcPr>
            <w:tcW w:type="dxa" w:w="3024"/>
          </w:tcPr>
          <w:p>
            <w:r>
              <w:rPr>
                <w:rFonts w:ascii="Times New Roman" w:hAnsi="Times New Roman"/>
                <w:sz w:val="20"/>
              </w:rPr>
              <w:t>Akteneinsicht, Protokoll, Beschwerde</w:t>
            </w:r>
          </w:p>
        </w:tc>
      </w:tr>
      <w:tr>
        <w:tc>
          <w:tcPr>
            <w:tcW w:type="dxa" w:w="3024"/>
          </w:tcPr>
          <w:p>
            <w:r>
              <w:rPr>
                <w:rFonts w:ascii="Times New Roman" w:hAnsi="Times New Roman"/>
                <w:sz w:val="20"/>
              </w:rPr>
              <w:t>09</w:t>
            </w:r>
          </w:p>
        </w:tc>
        <w:tc>
          <w:tcPr>
            <w:tcW w:type="dxa" w:w="3024"/>
          </w:tcPr>
          <w:p>
            <w:r>
              <w:rPr>
                <w:rFonts w:ascii="Times New Roman" w:hAnsi="Times New Roman"/>
                <w:sz w:val="20"/>
              </w:rPr>
              <w:t>09_beweisantragsskizzen_konfrontationsstrategie.md</w:t>
            </w:r>
          </w:p>
        </w:tc>
        <w:tc>
          <w:tcPr>
            <w:tcW w:type="dxa" w:w="3024"/>
          </w:tcPr>
          <w:p>
            <w:r>
              <w:rPr>
                <w:rFonts w:ascii="Times New Roman" w:hAnsi="Times New Roman"/>
                <w:sz w:val="20"/>
              </w:rPr>
              <w:t>Beweisanträge BA-01 bis BA-09</w:t>
            </w:r>
          </w:p>
        </w:tc>
      </w:tr>
      <w:tr>
        <w:tc>
          <w:tcPr>
            <w:tcW w:type="dxa" w:w="3024"/>
          </w:tcPr>
          <w:p>
            <w:r>
              <w:rPr>
                <w:rFonts w:ascii="Times New Roman" w:hAnsi="Times New Roman"/>
                <w:sz w:val="20"/>
              </w:rPr>
              <w:t>10</w:t>
            </w:r>
          </w:p>
        </w:tc>
        <w:tc>
          <w:tcPr>
            <w:tcW w:type="dxa" w:w="3024"/>
          </w:tcPr>
          <w:p>
            <w:r>
              <w:rPr>
                <w:rFonts w:ascii="Times New Roman" w:hAnsi="Times New Roman"/>
                <w:sz w:val="20"/>
              </w:rPr>
              <w:t>10_verstaendigung_257c_stpo_krasniqi.md</w:t>
            </w:r>
          </w:p>
        </w:tc>
        <w:tc>
          <w:tcPr>
            <w:tcW w:type="dxa" w:w="3024"/>
          </w:tcPr>
          <w:p>
            <w:r>
              <w:rPr>
                <w:rFonts w:ascii="Times New Roman" w:hAnsi="Times New Roman"/>
                <w:sz w:val="20"/>
              </w:rPr>
              <w:t>§ 257c StPO, Verständigungsbemühungen</w:t>
            </w:r>
          </w:p>
        </w:tc>
      </w:tr>
      <w:tr>
        <w:tc>
          <w:tcPr>
            <w:tcW w:type="dxa" w:w="3024"/>
          </w:tcPr>
          <w:p>
            <w:r>
              <w:rPr>
                <w:rFonts w:ascii="Times New Roman" w:hAnsi="Times New Roman"/>
                <w:sz w:val="20"/>
              </w:rPr>
              <w:t>11</w:t>
            </w:r>
          </w:p>
        </w:tc>
        <w:tc>
          <w:tcPr>
            <w:tcW w:type="dxa" w:w="3024"/>
          </w:tcPr>
          <w:p>
            <w:r>
              <w:rPr>
                <w:rFonts w:ascii="Times New Roman" w:hAnsi="Times New Roman"/>
                <w:sz w:val="20"/>
              </w:rPr>
              <w:t>11_sonderakte_krasniqi_mutterschutz_vollzugslockerung.md</w:t>
            </w:r>
          </w:p>
        </w:tc>
        <w:tc>
          <w:tcPr>
            <w:tcW w:type="dxa" w:w="3024"/>
          </w:tcPr>
          <w:p>
            <w:r>
              <w:rPr>
                <w:rFonts w:ascii="Times New Roman" w:hAnsi="Times New Roman"/>
                <w:sz w:val="20"/>
              </w:rPr>
              <w:t>Schwangerschaft, U-Haft, § 116 StPO</w:t>
            </w:r>
          </w:p>
        </w:tc>
      </w:tr>
      <w:tr>
        <w:tc>
          <w:tcPr>
            <w:tcW w:type="dxa" w:w="3024"/>
          </w:tcPr>
          <w:p>
            <w:r>
              <w:rPr>
                <w:rFonts w:ascii="Times New Roman" w:hAnsi="Times New Roman"/>
                <w:sz w:val="20"/>
              </w:rPr>
              <w:t>12</w:t>
            </w:r>
          </w:p>
        </w:tc>
        <w:tc>
          <w:tcPr>
            <w:tcW w:type="dxa" w:w="3024"/>
          </w:tcPr>
          <w:p>
            <w:r>
              <w:rPr>
                <w:rFonts w:ascii="Times New Roman" w:hAnsi="Times New Roman"/>
                <w:sz w:val="20"/>
              </w:rPr>
              <w:t>12_internationale_rechtshilfe_polen_rumaenien.md</w:t>
            </w:r>
          </w:p>
        </w:tc>
        <w:tc>
          <w:tcPr>
            <w:tcW w:type="dxa" w:w="3024"/>
          </w:tcPr>
          <w:p>
            <w:r>
              <w:rPr>
                <w:rFonts w:ascii="Times New Roman" w:hAnsi="Times New Roman"/>
                <w:sz w:val="20"/>
              </w:rPr>
              <w:t>Rechtshilfe Polen und Rumänien, Interpol</w:t>
            </w:r>
          </w:p>
        </w:tc>
      </w:tr>
      <w:tr>
        <w:tc>
          <w:tcPr>
            <w:tcW w:type="dxa" w:w="3024"/>
          </w:tcPr>
          <w:p>
            <w:r>
              <w:rPr>
                <w:rFonts w:ascii="Times New Roman" w:hAnsi="Times New Roman"/>
                <w:sz w:val="20"/>
              </w:rPr>
              <w:t>13</w:t>
            </w:r>
          </w:p>
        </w:tc>
        <w:tc>
          <w:tcPr>
            <w:tcW w:type="dxa" w:w="3024"/>
          </w:tcPr>
          <w:p>
            <w:r>
              <w:rPr>
                <w:rFonts w:ascii="Times New Roman" w:hAnsi="Times New Roman"/>
                <w:sz w:val="20"/>
              </w:rPr>
              <w:t>13_sicherstellung_verwertungsverfahren_111_stpo.md</w:t>
            </w:r>
          </w:p>
        </w:tc>
        <w:tc>
          <w:tcPr>
            <w:tcW w:type="dxa" w:w="3024"/>
          </w:tcPr>
          <w:p>
            <w:r>
              <w:rPr>
                <w:rFonts w:ascii="Times New Roman" w:hAnsi="Times New Roman"/>
                <w:sz w:val="20"/>
              </w:rPr>
              <w:t>§ 111b StPO, Einziehung, BTC</w:t>
            </w:r>
          </w:p>
        </w:tc>
      </w:tr>
      <w:tr>
        <w:tc>
          <w:tcPr>
            <w:tcW w:type="dxa" w:w="3024"/>
          </w:tcPr>
          <w:p>
            <w:r>
              <w:rPr>
                <w:rFonts w:ascii="Times New Roman" w:hAnsi="Times New Roman"/>
                <w:sz w:val="20"/>
              </w:rPr>
              <w:t>14</w:t>
            </w:r>
          </w:p>
        </w:tc>
        <w:tc>
          <w:tcPr>
            <w:tcW w:type="dxa" w:w="3024"/>
          </w:tcPr>
          <w:p>
            <w:r>
              <w:rPr>
                <w:rFonts w:ascii="Times New Roman" w:hAnsi="Times New Roman"/>
                <w:sz w:val="20"/>
              </w:rPr>
              <w:t>14_nebenklage_adhaesionsverfahren_403_stpo.md</w:t>
            </w:r>
          </w:p>
        </w:tc>
        <w:tc>
          <w:tcPr>
            <w:tcW w:type="dxa" w:w="3024"/>
          </w:tcPr>
          <w:p>
            <w:r>
              <w:rPr>
                <w:rFonts w:ascii="Times New Roman" w:hAnsi="Times New Roman"/>
                <w:sz w:val="20"/>
              </w:rPr>
              <w:t>Nebenklage, Adhäsion, Schmerzensgeld</w:t>
            </w:r>
          </w:p>
        </w:tc>
      </w:tr>
      <w:tr>
        <w:tc>
          <w:tcPr>
            <w:tcW w:type="dxa" w:w="3024"/>
          </w:tcPr>
          <w:p>
            <w:r>
              <w:rPr>
                <w:rFonts w:ascii="Times New Roman" w:hAnsi="Times New Roman"/>
                <w:sz w:val="20"/>
              </w:rPr>
              <w:t>15</w:t>
            </w:r>
          </w:p>
        </w:tc>
        <w:tc>
          <w:tcPr>
            <w:tcW w:type="dxa" w:w="3024"/>
          </w:tcPr>
          <w:p>
            <w:r>
              <w:rPr>
                <w:rFonts w:ascii="Times New Roman" w:hAnsi="Times New Roman"/>
                <w:sz w:val="20"/>
              </w:rPr>
              <w:t>15_sachverstaendiger_aussagepsychologie_gegenueberstellung.md</w:t>
            </w:r>
          </w:p>
        </w:tc>
        <w:tc>
          <w:tcPr>
            <w:tcW w:type="dxa" w:w="3024"/>
          </w:tcPr>
          <w:p>
            <w:r>
              <w:rPr>
                <w:rFonts w:ascii="Times New Roman" w:hAnsi="Times New Roman"/>
                <w:sz w:val="20"/>
              </w:rPr>
              <w:t>Sternkopf-Gutachten, Lineup-Analyse</w:t>
            </w:r>
          </w:p>
        </w:tc>
      </w:tr>
      <w:tr>
        <w:tc>
          <w:tcPr>
            <w:tcW w:type="dxa" w:w="3024"/>
          </w:tcPr>
          <w:p>
            <w:r>
              <w:rPr>
                <w:rFonts w:ascii="Times New Roman" w:hAnsi="Times New Roman"/>
                <w:sz w:val="20"/>
              </w:rPr>
              <w:t>16</w:t>
            </w:r>
          </w:p>
        </w:tc>
        <w:tc>
          <w:tcPr>
            <w:tcW w:type="dxa" w:w="3024"/>
          </w:tcPr>
          <w:p>
            <w:r>
              <w:rPr>
                <w:rFonts w:ascii="Times New Roman" w:hAnsi="Times New Roman"/>
                <w:sz w:val="20"/>
              </w:rPr>
              <w:t>16_plaedoyer_vorbereitung_strafzumessung.md</w:t>
            </w:r>
          </w:p>
        </w:tc>
        <w:tc>
          <w:tcPr>
            <w:tcW w:type="dxa" w:w="3024"/>
          </w:tcPr>
          <w:p>
            <w:r>
              <w:rPr>
                <w:rFonts w:ascii="Times New Roman" w:hAnsi="Times New Roman"/>
                <w:sz w:val="20"/>
              </w:rPr>
              <w:t>Strafzumessung, Plädoyers, § 46 StGB</w:t>
            </w:r>
          </w:p>
        </w:tc>
      </w:tr>
      <w:tr>
        <w:tc>
          <w:tcPr>
            <w:tcW w:type="dxa" w:w="3024"/>
          </w:tcPr>
          <w:p>
            <w:r>
              <w:rPr>
                <w:rFonts w:ascii="Times New Roman" w:hAnsi="Times New Roman"/>
                <w:sz w:val="20"/>
              </w:rPr>
              <w:t>17</w:t>
            </w:r>
          </w:p>
        </w:tc>
        <w:tc>
          <w:tcPr>
            <w:tcW w:type="dxa" w:w="3024"/>
          </w:tcPr>
          <w:p>
            <w:r>
              <w:rPr>
                <w:rFonts w:ascii="Times New Roman" w:hAnsi="Times New Roman"/>
                <w:sz w:val="20"/>
              </w:rPr>
              <w:t>17_sicherungs_beschlagnahme_goldbarren_drebenstedt.md</w:t>
            </w:r>
          </w:p>
        </w:tc>
        <w:tc>
          <w:tcPr>
            <w:tcW w:type="dxa" w:w="3024"/>
          </w:tcPr>
          <w:p>
            <w:r>
              <w:rPr>
                <w:rFonts w:ascii="Times New Roman" w:hAnsi="Times New Roman"/>
                <w:sz w:val="20"/>
              </w:rPr>
              <w:t>Goldbarren, § 73a StGB, Widerspruch</w:t>
            </w:r>
          </w:p>
        </w:tc>
      </w:tr>
      <w:tr>
        <w:tc>
          <w:tcPr>
            <w:tcW w:type="dxa" w:w="3024"/>
          </w:tcPr>
          <w:p>
            <w:r>
              <w:rPr>
                <w:rFonts w:ascii="Times New Roman" w:hAnsi="Times New Roman"/>
                <w:sz w:val="20"/>
              </w:rPr>
              <w:t>18</w:t>
            </w:r>
          </w:p>
        </w:tc>
        <w:tc>
          <w:tcPr>
            <w:tcW w:type="dxa" w:w="3024"/>
          </w:tcPr>
          <w:p>
            <w:r>
              <w:rPr>
                <w:rFonts w:ascii="Times New Roman" w:hAnsi="Times New Roman"/>
                <w:sz w:val="20"/>
              </w:rPr>
              <w:t>18_ki_beweis_index_und_datenbanken.md</w:t>
            </w:r>
          </w:p>
        </w:tc>
        <w:tc>
          <w:tcPr>
            <w:tcW w:type="dxa" w:w="3024"/>
          </w:tcPr>
          <w:p>
            <w:r>
              <w:rPr>
                <w:rFonts w:ascii="Times New Roman" w:hAnsi="Times New Roman"/>
                <w:sz w:val="20"/>
              </w:rPr>
              <w:t>KI-Beweis-Index, Digitale Aufbereitung</w:t>
            </w:r>
          </w:p>
        </w:tc>
      </w:tr>
      <w:tr>
        <w:tc>
          <w:tcPr>
            <w:tcW w:type="dxa" w:w="3024"/>
          </w:tcPr>
          <w:p>
            <w:r>
              <w:rPr>
                <w:rFonts w:ascii="Times New Roman" w:hAnsi="Times New Roman"/>
                <w:sz w:val="20"/>
              </w:rPr>
              <w:t>19</w:t>
            </w:r>
          </w:p>
        </w:tc>
        <w:tc>
          <w:tcPr>
            <w:tcW w:type="dxa" w:w="3024"/>
          </w:tcPr>
          <w:p>
            <w:r>
              <w:rPr>
                <w:rFonts w:ascii="Times New Roman" w:hAnsi="Times New Roman"/>
                <w:sz w:val="20"/>
              </w:rPr>
              <w:t>19_zeugenmatrix_vollstandig.md</w:t>
            </w:r>
          </w:p>
        </w:tc>
        <w:tc>
          <w:tcPr>
            <w:tcW w:type="dxa" w:w="3024"/>
          </w:tcPr>
          <w:p>
            <w:r>
              <w:rPr>
                <w:rFonts w:ascii="Times New Roman" w:hAnsi="Times New Roman"/>
                <w:sz w:val="20"/>
              </w:rPr>
              <w:t>Kreuztabelle Zeugen, Konfrontationsplan</w:t>
            </w:r>
          </w:p>
        </w:tc>
      </w:tr>
      <w:tr>
        <w:tc>
          <w:tcPr>
            <w:tcW w:type="dxa" w:w="3024"/>
          </w:tcPr>
          <w:p>
            <w:r>
              <w:rPr>
                <w:rFonts w:ascii="Times New Roman" w:hAnsi="Times New Roman"/>
                <w:sz w:val="20"/>
              </w:rPr>
              <w:t>20</w:t>
            </w:r>
          </w:p>
        </w:tc>
        <w:tc>
          <w:tcPr>
            <w:tcW w:type="dxa" w:w="3024"/>
          </w:tcPr>
          <w:p>
            <w:r>
              <w:rPr>
                <w:rFonts w:ascii="Times New Roman" w:hAnsi="Times New Roman"/>
                <w:sz w:val="20"/>
              </w:rPr>
              <w:t>20_risikoanalyse_verfahrensstrategien.md</w:t>
            </w:r>
          </w:p>
        </w:tc>
        <w:tc>
          <w:tcPr>
            <w:tcW w:type="dxa" w:w="3024"/>
          </w:tcPr>
          <w:p>
            <w:r>
              <w:rPr>
                <w:rFonts w:ascii="Times New Roman" w:hAnsi="Times New Roman"/>
                <w:sz w:val="20"/>
              </w:rPr>
              <w:t>Risikobewertung, Szenarien</w:t>
            </w:r>
          </w:p>
        </w:tc>
      </w:tr>
      <w:tr>
        <w:tc>
          <w:tcPr>
            <w:tcW w:type="dxa" w:w="3024"/>
          </w:tcPr>
          <w:p>
            <w:r>
              <w:rPr>
                <w:rFonts w:ascii="Times New Roman" w:hAnsi="Times New Roman"/>
                <w:sz w:val="20"/>
              </w:rPr>
              <w:t>21</w:t>
            </w:r>
          </w:p>
        </w:tc>
        <w:tc>
          <w:tcPr>
            <w:tcW w:type="dxa" w:w="3024"/>
          </w:tcPr>
          <w:p>
            <w:r>
              <w:rPr>
                <w:rFonts w:ascii="Times New Roman" w:hAnsi="Times New Roman"/>
                <w:sz w:val="20"/>
              </w:rPr>
              <w:t>21_haftpruefung_haftfortdauer_beschluesse.md</w:t>
            </w:r>
          </w:p>
        </w:tc>
        <w:tc>
          <w:tcPr>
            <w:tcW w:type="dxa" w:w="3024"/>
          </w:tcPr>
          <w:p>
            <w:r>
              <w:rPr>
                <w:rFonts w:ascii="Times New Roman" w:hAnsi="Times New Roman"/>
                <w:sz w:val="20"/>
              </w:rPr>
              <w:t>Haftbefehle, § 121 StPO, Vollzug</w:t>
            </w:r>
          </w:p>
        </w:tc>
      </w:tr>
      <w:tr>
        <w:tc>
          <w:tcPr>
            <w:tcW w:type="dxa" w:w="3024"/>
          </w:tcPr>
          <w:p>
            <w:r>
              <w:rPr>
                <w:rFonts w:ascii="Times New Roman" w:hAnsi="Times New Roman"/>
                <w:sz w:val="20"/>
              </w:rPr>
              <w:t>22</w:t>
            </w:r>
          </w:p>
        </w:tc>
        <w:tc>
          <w:tcPr>
            <w:tcW w:type="dxa" w:w="3024"/>
          </w:tcPr>
          <w:p>
            <w:r>
              <w:rPr>
                <w:rFonts w:ascii="Times New Roman" w:hAnsi="Times New Roman"/>
                <w:sz w:val="20"/>
              </w:rPr>
              <w:t>22_verfahrensstand_abschluss_ausblick.md</w:t>
            </w:r>
          </w:p>
        </w:tc>
        <w:tc>
          <w:tcPr>
            <w:tcW w:type="dxa" w:w="3024"/>
          </w:tcPr>
          <w:p>
            <w:r>
              <w:rPr>
                <w:rFonts w:ascii="Times New Roman" w:hAnsi="Times New Roman"/>
                <w:sz w:val="20"/>
              </w:rPr>
              <w:t>Gesamtstand, Ausblick HV</w:t>
            </w:r>
          </w:p>
        </w:tc>
      </w:tr>
    </w:tbl>
    <w:p/>
    <w:p>
      <w:pPr>
        <w:pStyle w:val="Heading2"/>
      </w:pPr>
      <w:r>
        <w:rPr>
          <w:rFonts w:ascii="Times New Roman" w:hAnsi="Times New Roman"/>
        </w:rPr>
        <w:t>4. Schriftsätze, Tabellen, Kommunikation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Verzeichnis</w:t>
            </w:r>
          </w:p>
        </w:tc>
        <w:tc>
          <w:tcPr>
            <w:tcW w:type="dxa" w:w="4536"/>
          </w:tcPr>
          <w:p>
            <w:r>
              <w:rPr>
                <w:rFonts w:ascii="Times New Roman" w:hAnsi="Times New Roman"/>
                <w:b/>
                <w:sz w:val="20"/>
              </w:rPr>
              <w:t>Inhalt</w:t>
            </w:r>
          </w:p>
        </w:tc>
      </w:tr>
      <w:tr>
        <w:tc>
          <w:tcPr>
            <w:tcW w:type="dxa" w:w="4536"/>
          </w:tcPr>
          <w:p>
            <w:r>
              <w:rPr>
                <w:rFonts w:ascii="Times New Roman" w:hAnsi="Times New Roman"/>
                <w:sz w:val="20"/>
              </w:rPr>
              <w:t>docx/</w:t>
            </w:r>
          </w:p>
        </w:tc>
        <w:tc>
          <w:tcPr>
            <w:tcW w:type="dxa" w:w="4536"/>
          </w:tcPr>
          <w:p>
            <w:r>
              <w:rPr>
                <w:rFonts w:ascii="Times New Roman" w:hAnsi="Times New Roman"/>
                <w:sz w:val="20"/>
              </w:rPr>
              <w:t>3 Schriftsätze: Akteneinsichtsantrag § 147 StPO, Aussetzungsantrag Krasniqi, Beweisantrag EncroChat</w:t>
            </w:r>
          </w:p>
        </w:tc>
      </w:tr>
      <w:tr>
        <w:tc>
          <w:tcPr>
            <w:tcW w:type="dxa" w:w="4536"/>
          </w:tcPr>
          <w:p>
            <w:r>
              <w:rPr>
                <w:rFonts w:ascii="Times New Roman" w:hAnsi="Times New Roman"/>
                <w:sz w:val="20"/>
              </w:rPr>
              <w:t>xlsx/</w:t>
            </w:r>
          </w:p>
        </w:tc>
        <w:tc>
          <w:tcPr>
            <w:tcW w:type="dxa" w:w="4536"/>
          </w:tcPr>
          <w:p>
            <w:r>
              <w:rPr>
                <w:rFonts w:ascii="Times New Roman" w:hAnsi="Times New Roman"/>
                <w:sz w:val="20"/>
              </w:rPr>
              <w:t>2 Tabellen: Zeugen-/Beweismittel-Matrix, Strafzumessungs-Skalierung</w:t>
            </w:r>
          </w:p>
        </w:tc>
      </w:tr>
      <w:tr>
        <w:tc>
          <w:tcPr>
            <w:tcW w:type="dxa" w:w="4536"/>
          </w:tcPr>
          <w:p>
            <w:r>
              <w:rPr>
                <w:rFonts w:ascii="Times New Roman" w:hAnsi="Times New Roman"/>
                <w:sz w:val="20"/>
              </w:rPr>
              <w:t>eml/</w:t>
            </w:r>
          </w:p>
        </w:tc>
        <w:tc>
          <w:tcPr>
            <w:tcW w:type="dxa" w:w="4536"/>
          </w:tcPr>
          <w:p>
            <w:r>
              <w:rPr>
                <w:rFonts w:ascii="Times New Roman" w:hAnsi="Times New Roman"/>
                <w:sz w:val="20"/>
              </w:rPr>
              <w:t>4 E-Mails: StA Stuttgart, Poln. GStA Krakow, JVA Schwäbisch Gmuend, Nebenklage</w:t>
            </w:r>
          </w:p>
        </w:tc>
      </w:tr>
      <w:tr>
        <w:tc>
          <w:tcPr>
            <w:tcW w:type="dxa" w:w="4536"/>
          </w:tcPr>
          <w:p>
            <w:r>
              <w:rPr>
                <w:rFonts w:ascii="Times New Roman" w:hAnsi="Times New Roman"/>
                <w:sz w:val="20"/>
              </w:rPr>
              <w:t>pdfs/</w:t>
            </w:r>
          </w:p>
        </w:tc>
        <w:tc>
          <w:tcPr>
            <w:tcW w:type="dxa" w:w="4536"/>
          </w:tcPr>
          <w:p>
            <w:r>
              <w:rPr>
                <w:rFonts w:ascii="Times New Roman" w:hAnsi="Times New Roman"/>
                <w:sz w:val="20"/>
              </w:rPr>
              <w:t>2 PDFs: Haftbefehl-Auszug (redacted), EncroChat-Auswertungsbericht-Auszug</w:t>
            </w:r>
          </w:p>
        </w:tc>
      </w:tr>
      <w:tr>
        <w:tc>
          <w:tcPr>
            <w:tcW w:type="dxa" w:w="4536"/>
          </w:tcPr>
          <w:p>
            <w:r>
              <w:rPr>
                <w:rFonts w:ascii="Times New Roman" w:hAnsi="Times New Roman"/>
                <w:sz w:val="20"/>
              </w:rPr>
              <w:t>jpg/</w:t>
            </w:r>
          </w:p>
        </w:tc>
        <w:tc>
          <w:tcPr>
            <w:tcW w:type="dxa" w:w="4536"/>
          </w:tcPr>
          <w:p>
            <w:r>
              <w:rPr>
                <w:rFonts w:ascii="Times New Roman" w:hAnsi="Times New Roman"/>
                <w:sz w:val="20"/>
              </w:rPr>
              <w:t>3 Bilder: Tatort-Foto, Beweismittel-Tabelle, Bandenstruktur-Organigramm</w:t>
            </w:r>
          </w:p>
        </w:tc>
      </w:tr>
    </w:tbl>
    <w:p/>
    <w:p>
      <w:pPr>
        <w:pStyle w:val="Heading2"/>
      </w:pPr>
      <w:r>
        <w:rPr>
          <w:rFonts w:ascii="Times New Roman" w:hAnsi="Times New Roman"/>
        </w:rPr>
        <w:t>5. Quellen- und Arbeitsvermerk</w:t>
      </w:r>
    </w:p>
    <w:p>
      <w:pPr>
        <w:jc w:val="left"/>
      </w:pPr>
      <w:r>
        <w:t>Diese Arbeitsakte wird intern zur Strukturierung der Verteidigungsstrategie geführt. Namen, Aktenzeichen, Adressen und Verfahrensdetails sind vor einer Verwendung im echten Mandat mit der Originalakte abzugleichen. Die Rechtsausführungen orientieren sich an StGB, StPO, IRG, JVollzG BW, RiVASt und frei verifizierbarer Rechtsprechung; sie ersetzen keine abschliessende anwaltliche Pruefung.</w:t>
      </w:r>
    </w:p>
    <w:p>
      <w:pPr>
        <w:jc w:val="left"/>
      </w:pPr>
      <w:r>
        <w:rPr>
          <w:b/>
        </w:rPr>
        <w:t>Quellen-Übersicht (dejure.org):</w:t>
      </w:r>
      <w:r>
        <w:t xml:space="preserve"> §§ 46, 73, 73a, 244a, 249, 250, 261 StGB; §§ 94, 99, 100a, 100b, 100g, 111b, 112, 116, 117, 119, 121, 136, 147, 163f, 240, 244, 257b, 257c, 304, 395, 396, 397, 403, 422, 455, 464a StPO; § 59 IRG; § 21a PolG BW; § 55 JVollzG BW; BGH 5 StR 457/21; BVerfG 2 BvR 2628/10; BVerfG NJW 2008, 2919; BVerfG NJW 2019, 905.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