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Mandatsnotiz — Erstgespräch mit StB Dr. Engelmeier zur steuerlichen Begleitung des Insolvenzplanverfahrens</w:t>
      </w:r>
    </w:p>
    <w:p>
      <w:pPr>
        <w:jc w:val="left"/>
      </w:pPr>
      <w:r>
        <w:rPr>
          <w:b/>
        </w:rPr>
        <w:t>Datum:</w:t>
      </w:r>
      <w:r>
        <w:t xml:space="preserve"> 18.02.2026 (6 Tage nach Eröffnung des Schutzschirmverfahrens)</w:t>
      </w:r>
    </w:p>
    <w:p>
      <w:pPr>
        <w:jc w:val="left"/>
      </w:pPr>
      <w:r>
        <w:rPr>
          <w:b/>
        </w:rPr>
        <w:t>Teilnehmer:</w:t>
      </w:r>
    </w:p>
    <w:p>
      <w:pPr>
        <w:pStyle w:val="ListBullet"/>
      </w:pPr>
      <w:r>
        <w:t>StB Dr. Thorsten Engelmeier (Engelmeier &amp; Partner, Erfurt) — laufender Steuerberater Grossbach</w:t>
      </w:r>
    </w:p>
    <w:p>
      <w:pPr>
        <w:pStyle w:val="ListBullet"/>
      </w:pPr>
      <w:r>
        <w:t>RA Dr. Maximilian Drosselberg (Drosselberg &amp; Partner) — Sanierungsanwalt und IV-i.S.v. § 270d InsO</w:t>
      </w:r>
    </w:p>
    <w:p>
      <w:pPr>
        <w:pStyle w:val="ListBullet"/>
      </w:pPr>
      <w:r>
        <w:t>Friedhelm Grossbach — Geschäftsführer der Komplementär-GmbH</w:t>
      </w:r>
    </w:p>
    <w:p>
      <w:pPr>
        <w:pStyle w:val="ListBullet"/>
      </w:pPr>
      <w:r>
        <w:t>Bertha Grossbach-Riemenschneider — Geschäftsführerin der Komplementär-GmbH</w:t>
      </w:r>
    </w:p>
    <w:p>
      <w:pPr>
        <w:pStyle w:val="ListBullet"/>
      </w:pPr>
      <w:r>
        <w:t>StB Magdalena Voltz — beigeordnet (Sozietät Drosselberg, Steuerteam)</w:t>
      </w:r>
    </w:p>
    <w:p>
      <w:pPr>
        <w:jc w:val="left"/>
      </w:pPr>
      <w:r>
        <w:rPr>
          <w:b/>
        </w:rPr>
        <w:t>Ort:</w:t>
      </w:r>
      <w:r>
        <w:t xml:space="preserve"> Werksverwaltung Anscharstrasse 14, 99084 Erfurt, Besprechungsraum "Schmelze"</w:t>
      </w:r>
    </w:p>
    <w:p>
      <w:pPr>
        <w:pStyle w:val="Heading2"/>
      </w:pPr>
      <w:r>
        <w:rPr>
          <w:rFonts w:ascii="Times New Roman" w:hAnsi="Times New Roman"/>
        </w:rPr>
        <w:t>Sachstand (verkürzt)</w:t>
      </w:r>
    </w:p>
    <w:p>
      <w:pPr>
        <w:pStyle w:val="ListBullet"/>
      </w:pPr>
      <w:r>
        <w:t>Schuldnerin: Grossbach Druckguss &amp; Präzision GmbH &amp; Co. KG, 240 Mitarbeiter, Aluminium- und Magnesium-Druckguss, Umsatz 2024 noch 78 Mio EUR, Umsatz 2025 (vorläufig) 61 Mio EUR. Auftragsverluste BMW (Modellumstellung E-Plattform, Q3/2025) und VW (Verlagerung nach Pamplona, Q4/2025) im Volumen ca. 29 Mio EUR p.a.</w:t>
      </w:r>
    </w:p>
    <w:p>
      <w:pPr>
        <w:pStyle w:val="ListBullet"/>
      </w:pPr>
      <w:r>
        <w:t>Schutzschirmverfahren § 270d InsO am AG Erfurt seit 12.02.2026, Az 60 IN 188/26. Insolvenzverwalter ist RA Rainer Pabst (Drosselberg &amp; Partner), Sachwalter RA Klaus Hattenberg (Hattenberg Sanierung GbR).</w:t>
      </w:r>
    </w:p>
    <w:p>
      <w:pPr>
        <w:pStyle w:val="ListBullet"/>
      </w:pPr>
      <w:r>
        <w:t>Vorbereiteter Insolvenzplan: Forderungsverzicht 38 Mio EUR; Quote für ungesicherte Gläubiger 7 %; Sicherheitenglaeubiger (Sparkasse Erfurt, Volksbank Mittelthüringen) bleiben weitgehend befriedigt; Investor LR Industrial AG Berlin übernimmt 25 % der KG-Anteile und 100 % der Komplementär-GmbH gegen 6 Mio EUR Eigenkapital-Zuführung.</w:t>
      </w:r>
    </w:p>
    <w:p>
      <w:pPr>
        <w:pStyle w:val="ListBullet"/>
      </w:pPr>
      <w:r>
        <w:t>Plan-Vorlage 30.04.2026; Eroerterungs- und Abstimmungstermin 18.06.2026; Bestätigung erwartet 25.06.2026 (§ 248 InsO).</w:t>
      </w:r>
    </w:p>
    <w:p>
      <w:pPr>
        <w:pStyle w:val="Heading2"/>
      </w:pPr>
      <w:r>
        <w:rPr>
          <w:rFonts w:ascii="Times New Roman" w:hAnsi="Times New Roman"/>
        </w:rPr>
        <w:t>Steuerlicher Befund (Stand 18.02.2026)</w:t>
      </w:r>
    </w:p>
    <w:p>
      <w:pPr>
        <w:jc w:val="left"/>
      </w:pPr>
      <w:r>
        <w:t>StB Engelmeier trägt vor:</w:t>
      </w:r>
    </w:p>
    <w:p>
      <w:pPr>
        <w:ind w:left="567"/>
      </w:pPr>
      <w:r>
        <w:rPr>
          <w:i/>
        </w:rPr>
        <w:t>"Die KG hat zum 31.12.2025 (Bilanzstichtag) einen handelsrechtlichen Verlustvortrag von ca. 11,8 Mio EUR. Steuerlich besteht ein KSt-Verlustvortrag von 12,0 Mio EUR auf Ebene der Komplementär-GmbH und ein GewSt-Verlustvortrag von 14,0 Mio EUR auf KG-Ebene. Die KG selbst zahlt keine KSt; die Verluste laufen auf Ebene der Komplementär-GmbH und der natürlichen-Person-Kommanditisten weiter. Das Problem: Beim Forderungsverzicht von 38 Mio EUR fallen die 38 Mio EUR — abzüglich der zwingenden Verrechnung nach § 3a Abs. 3 EStG — als verbleibender Sanierungsertrag an. Die 12 Mio EUR Verlust reichen nicht. Es bleiben 26 Mio EUR steuerpflichtiger Sanierungsertrag — ohne § 3a EStG-Antrag wäre die Sanierung gescheitert."</w:t>
      </w:r>
    </w:p>
    <w:p>
      <w:pPr>
        <w:pStyle w:val="Heading2"/>
      </w:pPr>
      <w:r>
        <w:rPr>
          <w:rFonts w:ascii="Times New Roman" w:hAnsi="Times New Roman"/>
        </w:rPr>
        <w:t>Sofortige Punkte</w:t>
      </w:r>
    </w:p>
    <w:p>
      <w:pPr>
        <w:pStyle w:val="ListNumber"/>
      </w:pPr>
      <w:r>
        <w:rPr>
          <w:b/>
        </w:rPr>
        <w:t>Antrag § 3a Abs. 4 EStG.</w:t>
      </w:r>
      <w:r>
        <w:t xml:space="preserve"> Wir brauchen den Antrag der Schuldnerin auf Steuerfreistellung des verbleibenden Sanierungsertrags. Antrag muss vor Bestandskraft des KSt-Bescheids 2026 gestellt sein; verbindliche Empfehlung der Sozietät Drosselberg: </w:t>
      </w:r>
      <w:r>
        <w:rPr>
          <w:b/>
        </w:rPr>
        <w:t>vor Plan-Bestätigung</w:t>
      </w:r>
      <w:r>
        <w:t xml:space="preserve"> stellen, ideal bis 30.04.2026 zusammen mit der Plan-Vorlage.</w:t>
      </w:r>
    </w:p>
    <w:p>
      <w:pPr>
        <w:pStyle w:val="ListNumber"/>
      </w:pPr>
      <w:r>
        <w:rPr>
          <w:b/>
        </w:rPr>
        <w:t>Parallelantrag § 7b GewStG.</w:t>
      </w:r>
      <w:r>
        <w:t xml:space="preserve"> Beim Gewerbesteueramt der Stadt Erfurt gesondert zu stellen. Gewerbesteuer-Hebesatz Erfurt: 470 %.</w:t>
      </w:r>
    </w:p>
    <w:p>
      <w:pPr>
        <w:pStyle w:val="ListNumber"/>
      </w:pPr>
      <w:r>
        <w:rPr>
          <w:b/>
        </w:rPr>
        <w:t>Verbindliche Auskunft § 89 AO.</w:t>
      </w:r>
      <w:r>
        <w:t xml:space="preserve"> Antrag beim Finanzamt Erfurt zur Sanierungseignung und zur Anwendbarkeit von § 3a EStG; Antrag soll vor Plan-Bestätigung beim FA Erfurt eingegangen sein, damit das FA in der Auskunft die Voraussetzungen bestätigt.</w:t>
      </w:r>
    </w:p>
    <w:p>
      <w:pPr>
        <w:pStyle w:val="ListNumber"/>
      </w:pPr>
      <w:r>
        <w:rPr>
          <w:b/>
        </w:rPr>
        <w:t>Sanierungseignung dokumentieren.</w:t>
      </w:r>
      <w:r>
        <w:t xml:space="preserve"> Sanierungsbedürftigkeit (vorläufiges Insolvenzverfahren), Sanierungsfähigkeit (IDW S6-Sanierungskonzept Buchner &amp; Voltz vom 25.01.2026), Sanierungseignung (Plan-Eckpunkte) und Sanierungsabsicht der Gläubiger (Gläubigerausschuss-Protokoll) müssen dokumentiert beim Antrag liegen.</w:t>
      </w:r>
    </w:p>
    <w:p>
      <w:pPr>
        <w:pStyle w:val="ListNumber"/>
      </w:pPr>
      <w:r>
        <w:rPr>
          <w:b/>
        </w:rPr>
        <w:t>Haftung.</w:t>
      </w:r>
      <w:r>
        <w:t xml:space="preserve"> Wenn der Antrag verspätet kommt, drohen IV-Haftung (§ 60 InsO) und StB-Haftung (§ 280 BGB).</w:t>
      </w:r>
    </w:p>
    <w:p>
      <w:pPr>
        <w:pStyle w:val="Heading2"/>
      </w:pPr>
      <w:r>
        <w:rPr>
          <w:rFonts w:ascii="Times New Roman" w:hAnsi="Times New Roman"/>
        </w:rPr>
        <w:t>Frage Friedhelm Grossbach</w:t>
      </w:r>
    </w:p>
    <w:p>
      <w:pPr>
        <w:ind w:left="567"/>
      </w:pPr>
      <w:r>
        <w:rPr>
          <w:i/>
        </w:rPr>
        <w:t>"Was passiert, wenn das Finanzamt den § 3a EStG-Antrag ablehnt?"</w:t>
      </w:r>
    </w:p>
    <w:p>
      <w:pPr>
        <w:jc w:val="left"/>
      </w:pPr>
      <w:r>
        <w:rPr>
          <w:b/>
        </w:rPr>
        <w:t>Antwort Drosselberg:</w:t>
      </w:r>
      <w:r>
        <w:t xml:space="preserve"> "Dann wäre die Steuerlast auf 26 Mio EUR steuerpflichtigen Sanierungsertrag bei 15 % KSt zzgl. Soli ca. 4,1 Mio EUR, bei GewSt (Hebesatz 470 %, Messzahl 3,5 % auf 24 Mio EUR) ca. 3,95 Mio EUR. Zusammen ca. 8 Mio EUR. Das würde den Plan kippen, weil die Liquidität der Plan-Restruktur diese Last nicht trägt. Wir brauchen also die Steuerfreistellung."</w:t>
      </w:r>
    </w:p>
    <w:p>
      <w:pPr>
        <w:pStyle w:val="Heading2"/>
      </w:pPr>
      <w:r>
        <w:rPr>
          <w:rFonts w:ascii="Times New Roman" w:hAnsi="Times New Roman"/>
        </w:rPr>
        <w:t>Nächste Schritte (Bis Freitag, 27.02.2026)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Bis wann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Engelmeier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Berechnung des Sanierungsertrags (38 Mio EUR), Verlustvortrag-Stand, Verrechnungsmatrix nach § 3a III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3a IV EStG mit Anlagen Sanierungseignung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7b GewStG (Parallelantrag Stadt Erfurt)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Drosselberg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verbindliche Auskunft § 89 AO mit Sanierungskonzept-Auszug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IV Pabst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Sanierungsbescheinigung StB Engelmeier sichten und zum Plan beilegen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Sachwalter Hattenberg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zur Sanierungseignung beim FA Erfurt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Risiko-Hinweise (interner Vermerk)</w:t>
      </w:r>
    </w:p>
    <w:p>
      <w:pPr>
        <w:pStyle w:val="ListBullet"/>
      </w:pPr>
      <w:r>
        <w:t>StB Engelmeier hat in einer früheren Sanierung (Mandant Heisterkamp Holzbau, 2023) den § 3a IV-Antrag erst nach Plan-Bestätigung gestellt und Probleme mit dem FA Eisenach gehabt. Es ist daher zwingend, dass er den Antrag dieses Mal rechtzeitig stellt.</w:t>
      </w:r>
    </w:p>
    <w:p>
      <w:pPr>
        <w:pStyle w:val="ListBullet"/>
      </w:pPr>
      <w:r>
        <w:t xml:space="preserve">Der Gesellschafterdarlehensteil (Friedhelm Grossbach hat 4 Mio EUR Gesellschafterdarlehen) wird im Plan nachrangig behandelt; steuerlich ist ein Forderungsverzicht des Gesellschafters nicht von § 3a EStG erfasst, weil hier eine Einlage vorliegt. Klärung mit StB Engelmeier in eigener Notiz. </w:t>
      </w:r>
      <w:r>
        <w:rPr>
          <w:b/>
        </w:rPr>
        <w:t>Querverweis Liquidationspfad:</w:t>
      </w:r>
      <w:r>
        <w:t xml:space="preserve"> FG Koeln, Urteil v. 06.03.2012 — 13 K 3006/11, GmbHR 2012, 977 (vorgehend zu BFH I R 34/12) — rangruecktrittsbehaftete Gesellschafterdarlehen bleiben bis zur Löschung passiviert; der dadurch rechentheoretisch entstehende Gewinn ist mangels Koerperschaftsteuersubjekt nicht festsetzbar. Relevanz für den Plan-B-Pfad „Liquidation statt Plan-Bestätigung".</w:t>
      </w:r>
    </w:p>
    <w:p>
      <w:pPr>
        <w:jc w:val="left"/>
      </w:pPr>
      <w:r>
        <w:rPr>
          <w:b/>
        </w:rPr>
        <w:t>Nächster Termin:</w:t>
      </w:r>
      <w:r>
        <w:t xml:space="preserve"> Dienstag, 03.03.2026, 14:00 Uhr, Werksverwaltung. Tagesordnung: Antrag § 3a IV-Entwurf, Antrag § 7b GewStG-Entwurf, Antrag verbindliche Auskunft § 89 AO-Entwurf.</w:t>
      </w:r>
    </w:p>
    <w:p>
      <w:pPr>
        <w:jc w:val="left"/>
      </w:pPr>
      <w:r>
        <w:t>— gez. Drosselberg, für Sozietät Drosselberg &amp; Partner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