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Insolvenzplan — Eckpunkte und Quotenverteilung Grossbach Druckguss &amp; Präzision GmbH &amp; Co. KG</w:t>
      </w:r>
    </w:p>
    <w:p>
      <w:pPr>
        <w:jc w:val="left"/>
      </w:pPr>
      <w:r>
        <w:rPr>
          <w:b/>
        </w:rPr>
        <w:t>Verfahren:</w:t>
      </w:r>
      <w:r>
        <w:t xml:space="preserve"> AG Erfurt 60 IN 188/26</w:t>
      </w:r>
    </w:p>
    <w:p>
      <w:pPr>
        <w:jc w:val="left"/>
      </w:pPr>
      <w:r>
        <w:rPr>
          <w:b/>
        </w:rPr>
        <w:t>Plan-Vorlage:</w:t>
      </w:r>
      <w:r>
        <w:t xml:space="preserve"> 30.04.2026 (geplant)</w:t>
      </w:r>
    </w:p>
    <w:p>
      <w:pPr>
        <w:jc w:val="left"/>
      </w:pPr>
      <w:r>
        <w:rPr>
          <w:b/>
        </w:rPr>
        <w:t>Eroerterungs- und Abstimmungstermin:</w:t>
      </w:r>
      <w:r>
        <w:t xml:space="preserve"> 18.06.2026</w:t>
      </w:r>
    </w:p>
    <w:p>
      <w:pPr>
        <w:jc w:val="left"/>
      </w:pPr>
      <w:r>
        <w:rPr>
          <w:b/>
        </w:rPr>
        <w:t>Bestätigung erwartet:</w:t>
      </w:r>
      <w:r>
        <w:t xml:space="preserve"> 25.06.2026</w:t>
      </w:r>
    </w:p>
    <w:p>
      <w:pPr>
        <w:jc w:val="left"/>
      </w:pPr>
      <w:r>
        <w:rPr>
          <w:b/>
        </w:rPr>
        <w:t>Plan-Verantwortlicher:</w:t>
      </w:r>
      <w:r>
        <w:t xml:space="preserve"> IV RA Rainer Pabst (Drosselberg &amp; Partner)</w:t>
      </w:r>
    </w:p>
    <w:p>
      <w:pPr>
        <w:jc w:val="left"/>
      </w:pPr>
      <w:r>
        <w:rPr>
          <w:b/>
        </w:rPr>
        <w:t>Sachwalter:</w:t>
      </w:r>
      <w:r>
        <w:t xml:space="preserve"> RA Klaus Hattenberg</w:t>
      </w:r>
    </w:p>
    <w:p>
      <w:pPr>
        <w:pStyle w:val="Heading2"/>
      </w:pPr>
      <w:r>
        <w:rPr>
          <w:rFonts w:ascii="Times New Roman" w:hAnsi="Times New Roman"/>
        </w:rPr>
        <w:t>1. Plan-Grundidee</w:t>
      </w:r>
    </w:p>
    <w:p>
      <w:pPr>
        <w:jc w:val="left"/>
      </w:pPr>
      <w:r>
        <w:t>Sanierung im Insolvenzplanverfahren (§§ 217 ff. InsO) mit:</w:t>
      </w:r>
    </w:p>
    <w:p>
      <w:pPr>
        <w:pStyle w:val="ListBullet"/>
      </w:pPr>
      <w:r>
        <w:t>Forderungsverzicht der ungesicherten Gläubiger im Volumen von 38.000.000 EUR,</w:t>
      </w:r>
    </w:p>
    <w:p>
      <w:pPr>
        <w:pStyle w:val="ListBullet"/>
      </w:pPr>
      <w:r>
        <w:t>Investoreneinstieg LR Industrial AG, Berlin, mit 6.000.000 EUR Eigenkapital gegen 25 % KG-Anteile und 100 % der Komplementär-GmbH-Anteile,</w:t>
      </w:r>
    </w:p>
    <w:p>
      <w:pPr>
        <w:pStyle w:val="ListBullet"/>
      </w:pPr>
      <w:r>
        <w:t>Personalanpassung um 60 Stellen (Sozialplan: 1,8 Mio EUR Abfindungsvolumen),</w:t>
      </w:r>
    </w:p>
    <w:p>
      <w:pPr>
        <w:pStyle w:val="ListBullet"/>
      </w:pPr>
      <w:r>
        <w:t>Strategischer Pivot in Photovoltaik-Aluminium-Komponenten (Solarwerk Mecklenburg AG, MoU 02.02.2026; Volumen 14 Mio EUR über 5 Jahre).</w:t>
      </w:r>
    </w:p>
    <w:p>
      <w:pPr>
        <w:pStyle w:val="Heading2"/>
      </w:pPr>
      <w:r>
        <w:rPr>
          <w:rFonts w:ascii="Times New Roman" w:hAnsi="Times New Roman"/>
        </w:rPr>
        <w:t>2. Gläubigergruppen (gestaltender Teil)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Forderungsvolumen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Plan-Quote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Absonderungsberechtigte (Sparkasse Erfurt, Sicherungsübereignung Maschinenpark)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8.500.000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(Sicherheit wird verwertet, Restanspruch quoten)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Absonderungsberechtigte (Volksbank Mittelthüringen, Grundschuld Werksgrundstück)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7.200.000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(Sicherheit bleibt; Tilgungsumstellung)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Ungesicherte Gläubiger (Lieferanten, Sonstige) über 50.000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30.800.000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Ungesicherte Gläubiger unter 50.000 EUR (Kleingläubiger)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Nachrangige Gläubiger (§ 39 InsO, Gesellschafterdarlehen Friedhelm Grossbach)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4.000.000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 (Verzicht)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Erfurt (USt-Rückstände vor Verfahrenseröffnung)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1.250.000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(Massevorrecht teilweise; Restquote 7 %)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Pensions-Sicherungs-Verein VVaG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870.000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(besondere Behandlung)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Verzichtsvolumen (Quelle des Sanierungsertrags)</w:t>
      </w:r>
    </w:p>
    <w:p>
      <w:pPr>
        <w:jc w:val="left"/>
      </w:pPr>
      <w:r>
        <w:t xml:space="preserve">Die Gläubigergruppen 3 und 4 verzichten auf ihre Forderungen i.H.v. 93 % der Anmeldungen. Das entspricht </w:t>
      </w:r>
      <w:r>
        <w:rPr>
          <w:b/>
        </w:rPr>
        <w:t>30.800.000 EUR + 2.400.000 EUR = 33.200.000 EUR</w:t>
      </w:r>
      <w:r>
        <w:t xml:space="preserve"> ungesicherter Forderungen, davon werden 7 % aus der Plan-Quote bedient, der Verzichtsanteil beträgt: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 Gruppe 3 (groessere ungesicherte)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davon Plan-Quote 7 %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2.156.000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- </w:t>
            </w:r>
            <w:r>
              <w:rPr>
                <w:rFonts w:ascii="Times New Roman" w:hAnsi="Times New Roman"/>
                <w:b/>
                <w:sz w:val="20"/>
              </w:rPr>
              <w:t>Verzichtsanteil Gruppe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28.644.000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 Gruppe 4 (Kleingläubiger)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davon Plan-Quote 7 %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- </w:t>
            </w:r>
            <w:r>
              <w:rPr>
                <w:rFonts w:ascii="Times New Roman" w:hAnsi="Times New Roman"/>
                <w:b/>
                <w:sz w:val="20"/>
              </w:rPr>
              <w:t>Verzichtsanteil Gruppe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2.232.000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Nachrangige Gläubiger (Gruppe 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- </w:t>
            </w:r>
            <w:r>
              <w:rPr>
                <w:rFonts w:ascii="Times New Roman" w:hAnsi="Times New Roman"/>
                <w:b/>
                <w:sz w:val="20"/>
              </w:rPr>
              <w:t>Verzichtsanteil Gruppe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Sicherungsteile-Verluste (Gruppe 1, 2) bei Realisierung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3.124.000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 gesamt (planmaessig)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38.000.000</w:t>
            </w:r>
          </w:p>
        </w:tc>
      </w:tr>
    </w:tbl>
    <w:p>
      <w:pPr>
        <w:jc w:val="left"/>
      </w:pPr>
      <w:r>
        <w:t>(Detaillierte Herleitung in Aktenstück 05_sanierungsertragsberechnung_38_mio_eur.md)</w:t>
      </w:r>
    </w:p>
    <w:p>
      <w:pPr>
        <w:pStyle w:val="Heading2"/>
      </w:pPr>
      <w:r>
        <w:rPr>
          <w:rFonts w:ascii="Times New Roman" w:hAnsi="Times New Roman"/>
        </w:rPr>
        <w:t>4. Investoreneinstieg</w:t>
      </w:r>
    </w:p>
    <w:p>
      <w:pPr>
        <w:pStyle w:val="ListBullet"/>
      </w:pPr>
      <w:r>
        <w:t>LR Industrial AG, Berlin (HRB 184123 AG Charlottenburg)</w:t>
      </w:r>
    </w:p>
    <w:p>
      <w:pPr>
        <w:pStyle w:val="ListBullet"/>
      </w:pPr>
      <w:r>
        <w:t>Kapitalzuführung 6.000.000 EUR</w:t>
      </w:r>
    </w:p>
    <w:p>
      <w:pPr>
        <w:pStyle w:val="ListBullet"/>
      </w:pPr>
      <w:r>
        <w:t>Erwerb 25 % KG-Anteile und 100 % Komplementär-GmbH-Anteile</w:t>
      </w:r>
    </w:p>
    <w:p>
      <w:pPr>
        <w:pStyle w:val="ListBullet"/>
      </w:pPr>
      <w:r>
        <w:t>Term Sheet vom 30.01.2026; SPA mit Closing-Bedingung "Plan-Bestätigung rechtskräftig" geplant</w:t>
      </w:r>
    </w:p>
    <w:p>
      <w:pPr>
        <w:pStyle w:val="Heading2"/>
      </w:pPr>
      <w:r>
        <w:rPr>
          <w:rFonts w:ascii="Times New Roman" w:hAnsi="Times New Roman"/>
        </w:rPr>
        <w:t>5. Steuerlich relevante Plan-Elemente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Plan-Element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Steuerliche Folge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38 Mio EUR (gewinnerhoehend)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i.S.v. § 3a EStG; KSt- und GewSt-pflichtig vor Befreiung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Verlustvortrag-Verbrauch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3a Abs. 3 EStG zwingende Verrechnung; danach § 3a Abs. 1 EStG Steuerfreiheit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Investoreneinstieg 25 % KG-Anteile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8c KStG-Risiko (auf Ebene Komplementär-GmbH, da Anteilsübertragung 100 %): Verlustuntergang Komplementär-GmbH-Verlust 12 Mio EUR? Aber: § 8d KStG-Antrag denkbar (siehe 06_verlustvortraege_kst_gewst_steuererklaerung_2025.md)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Gesellschafterdarlehensverzicht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Einlage, nicht Sanierungsertrag; gesonderte Buchung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Sozialplan-Abfindungen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Betriebsausgaben, mindern KSt 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6. Plan-Zeitachse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Eröffnung Schutzschirm (60 IN 188/26)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 konstituiert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Sanierungskonzept-Update IDW S6 (Buchner &amp; Voltz)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Plan-Eckpunkte zirkuliert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Plan-Vorlage beim AG Erfurt (geplant)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Eroerterungs- und Abstimmungstermin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Plan-Bestaetigungs-Beschluss (geplant)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26.06.2026 — 24.07.2026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Beschwerde-Frist und Rechtskraft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Plan-Umsetzung Start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Q3/2026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Investor-Closing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Wirtschaftsjahr 2026 endet (Steuererklaerung 2026 Schwellenstichtag)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7. Voraussetzungen § 3a EStG (Pruefung im Plan-Dokument)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Erfüllt durch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Sanierungsbedürftigkeit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Schutzschirmverfahren (Beschluss 12.02.2026 AG Erfurt)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Sanierungsfähigkeit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Buchner &amp; Voltz v. 25.01.2026 (Anlage 7 zum Antrag)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Sanierungseignung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Plan-Eckpunkte: Forderungsverzicht + Investor + Pivot Solar (siehe oben)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Sanierungsabsicht der Gläubiger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Gläubigerausschuss-Protokoll v. 25.02.2026 (siehe Aktenstück 04)</w:t>
            </w:r>
          </w:p>
        </w:tc>
      </w:tr>
    </w:tbl>
    <w:p>
      <w:pPr>
        <w:jc w:val="left"/>
      </w:pPr>
      <w:r>
        <w:t>Im darstellenden Teil des Insolvenzplans wird ein eigenes Kapitel "Steuerliche Behandlung des Sanierungsertrags" eingefügt, das die § 3a EStG-Voraussetzungen Punkt für Punkt durchdekliniert (Mustertext: Anlage 7c zum Plan).</w:t>
      </w:r>
    </w:p>
    <w:p>
      <w:pPr>
        <w:pStyle w:val="Heading2"/>
      </w:pPr>
      <w:r>
        <w:rPr>
          <w:rFonts w:ascii="Times New Roman" w:hAnsi="Times New Roman"/>
        </w:rPr>
        <w:t>8. Risiko-Hinweis (intern)</w:t>
      </w:r>
    </w:p>
    <w:p>
      <w:pPr>
        <w:jc w:val="left"/>
      </w:pPr>
      <w:r>
        <w:t>Der § 3a IV EStG-Antrag muss spätestens mit der Plan-Vorlage 30.04.2026 beim Finanzamt Erfurt eingehen, damit das FA bis zur Plan-Bestätigung am 25.06.2026 reagieren und ggf. eine verbindliche Auskunft erteilen kann. Verspäteter Antrag bringt Risiko nach FG Koeln 12 K 1413/25 (siehe Aktenstück 12).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