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07 § 3a Abs. 3 EStG — Verrechnungsmatrix Grossbach 2026</w:t>
      </w:r>
    </w:p>
    <w:p>
      <w:pPr>
        <w:pStyle w:val="Heading2"/>
      </w:pPr>
      <w:r>
        <w:rPr>
          <w:rFonts w:ascii="Times New Roman" w:hAnsi="Times New Roman"/>
        </w:rPr>
        <w:t>I. Zweck</w:t>
      </w:r>
    </w:p>
    <w:p>
      <w:pPr>
        <w:jc w:val="left"/>
      </w:pPr>
      <w:r>
        <w:t>Diese Matrix zeigt die zwingende Verrechnung nach § 3a Abs. 3 EStG (sinngemäß auf KSt und GewSt) anhand der konkreten Zahlen der Schuldnerin. Sie ist Anlage 2 zum Antrag nach § 3a Abs. 4 EStG (Aktenstück 08) und Anlage 2 zum Parallelantrag nach § 7b GewStG (Aktenstück 09).</w:t>
      </w:r>
    </w:p>
    <w:p>
      <w:pPr>
        <w:pStyle w:val="Heading2"/>
      </w:pPr>
      <w:r>
        <w:rPr>
          <w:rFonts w:ascii="Times New Roman" w:hAnsi="Times New Roman"/>
        </w:rPr>
        <w:t>II. Eingangsgroessen (Stand 22.02.2026)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Sanierungsertrag (Forderungsverzicht im Plan)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Verlustvortrag KSt zum 31.12.2025 (Komplementär-GmbH)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Verlustvortrag GewSt zum 31.12.2025 (KG)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Negativer Gesamtbetrag der Einkünfte 2026 (Schätzung Schuldnerin, vor Sanierungsertrag)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Plan: laufendes Ergebnis 2026 vor Sanierung schwarz-null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Verlustruecktrag 2026 nach 2025 verfügbar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III. § 3a Abs. 3 EStG — Reihenfolge der Verrechnung</w:t>
      </w:r>
    </w:p>
    <w:p>
      <w:pPr>
        <w:jc w:val="left"/>
      </w:pPr>
      <w:r>
        <w:t>§ 3a Abs. 3 EStG ordnet eine bestimmte Reihenfolge der Verrechnung an. Vereinfacht (auf den Streitfall heruntergebrochen):</w:t>
      </w:r>
    </w:p>
    <w:p>
      <w:pPr>
        <w:pStyle w:val="ListNumber"/>
      </w:pPr>
      <w:r>
        <w:rPr>
          <w:b/>
        </w:rPr>
        <w:t>Erster Schritt:</w:t>
      </w:r>
      <w:r>
        <w:t xml:space="preserve"> Sanierungsertrag mindert den nicht ausgeglichenen Verlust des Wirtschaftsjahres der Sanierung (Sanierungsjahr 2026) und des Vorjahres (2025), soweit dieser nicht durch Verlustruecktrag verbraucht ist.</w:t>
      </w:r>
    </w:p>
    <w:p>
      <w:pPr>
        <w:pStyle w:val="ListNumber"/>
      </w:pPr>
      <w:r>
        <w:rPr>
          <w:b/>
        </w:rPr>
        <w:t>Zweiter Schritt:</w:t>
      </w:r>
      <w:r>
        <w:t xml:space="preserve"> Sanierungsertrag mindert den Verlustvortrag aus den Vorjahren (§ 10d EStG für KSt; § 10a GewStG für GewSt).</w:t>
      </w:r>
    </w:p>
    <w:p>
      <w:pPr>
        <w:pStyle w:val="ListNumber"/>
      </w:pPr>
      <w:r>
        <w:rPr>
          <w:b/>
        </w:rPr>
        <w:t>Dritter Schritt:</w:t>
      </w:r>
      <w:r>
        <w:t xml:space="preserve"> Sanierungsertrag mindert den Verlustvortrag der nachfolgenden Personen (z. B. Organgesellschaft), soweit anwendbar.</w:t>
      </w:r>
    </w:p>
    <w:p>
      <w:pPr>
        <w:pStyle w:val="ListNumber"/>
      </w:pPr>
      <w:r>
        <w:rPr>
          <w:b/>
        </w:rPr>
        <w:t>Verbleibender Sanierungsertrag</w:t>
      </w:r>
      <w:r>
        <w:t xml:space="preserve"> ist nach § 3a Abs. 1 EStG steuerfrei, bedingt durch Antrag § 3a Abs. 4 EStG.</w:t>
      </w:r>
    </w:p>
    <w:p>
      <w:pPr>
        <w:pStyle w:val="Heading2"/>
      </w:pPr>
      <w:r>
        <w:rPr>
          <w:rFonts w:ascii="Times New Roman" w:hAnsi="Times New Roman"/>
        </w:rPr>
        <w:t>IV. Matrix KSt-Ebene (Komplementär-GmbH)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Sanierungsertrag-Saldo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Anrechnung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Verbleibender Saldo (EUR)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Start: Sanierungsertrag brutto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Schritt 1: Verlust laufendes Jahr 2026 (vor Sanierung)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Schritt 2a: Verlustruecktrag nach 2025 (verfügbar 0 EUR; KG-Beteiligungsverlust 2025 schon im KSt-Verlustvortrag 12 Mio erfasst)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Schritt 2b: Verlustvortrag KSt (gem. § 10d EStG)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-12.000.000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26.000.000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Schritt 3: Verlustvortrag bei nachfolgenden Personen (hier nicht relevant — keine KSt-Organschaft)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26.000.000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26.000.000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Verbleibender Sanierungsertrag KSt nach § 3a III EStG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26.000.000</w:t>
            </w:r>
          </w:p>
        </w:tc>
      </w:tr>
    </w:tbl>
    <w:p>
      <w:pPr>
        <w:jc w:val="left"/>
      </w:pPr>
      <w:r>
        <w:t xml:space="preserve">➜ </w:t>
      </w:r>
      <w:r>
        <w:rPr>
          <w:b/>
        </w:rPr>
        <w:t>Antrag § 3a Abs. 4 EStG:</w:t>
      </w:r>
      <w:r>
        <w:t xml:space="preserve"> Diese 26 Mio EUR sind nach § 3a Abs. 1 EStG steuerfrei zu stellen.</w:t>
      </w:r>
    </w:p>
    <w:p>
      <w:pPr>
        <w:pStyle w:val="Heading2"/>
      </w:pPr>
      <w:r>
        <w:rPr>
          <w:rFonts w:ascii="Times New Roman" w:hAnsi="Times New Roman"/>
        </w:rPr>
        <w:t>V. Matrix GewSt-Ebene (KG)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Sanierungsertrag-Saldo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Anrechnung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Verbleibender Saldo (EUR)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Start: Sanierungsertrag brutto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Schritt 1: Negativer Gewerbeertrag 2026 (laufend, vor Sanierung)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Schritt 2: Verlustvortrag GewSt (§ 10a GewStG)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-14.000.000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24.000.000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Verbleibender Sanierungsertrag GewSt nach § 7b GewStG i.V.m. § 3a III EStG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24.000.000</w:t>
            </w:r>
          </w:p>
        </w:tc>
      </w:tr>
    </w:tbl>
    <w:p>
      <w:pPr>
        <w:jc w:val="left"/>
      </w:pPr>
      <w:r>
        <w:t xml:space="preserve">➜ </w:t>
      </w:r>
      <w:r>
        <w:rPr>
          <w:b/>
        </w:rPr>
        <w:t>Antrag § 7b GewStG:</w:t>
      </w:r>
      <w:r>
        <w:t xml:space="preserve"> Diese 24 Mio EUR sind gewerbesteuerlich freizustellen.</w:t>
      </w:r>
    </w:p>
    <w:p>
      <w:pPr>
        <w:pStyle w:val="Heading2"/>
      </w:pPr>
      <w:r>
        <w:rPr>
          <w:rFonts w:ascii="Times New Roman" w:hAnsi="Times New Roman"/>
        </w:rPr>
        <w:t>VI. Konsistenz-Pruefung (Was wäre ohne § 3a EStG)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Verbleibender Sanierungsertrag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26.000.000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KSt 15 %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3.900.000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Solidaritätszuschlag 5,5 % auf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214.500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Verbleibender Sanierungsertrag GewSt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Steuermesszahl 3,5 %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840.000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Hebesatz Erfurt 470 %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3.948.000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Steuerlast ohne § 3a/§ 7b (Summe KSt + Soli + GewSt)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8.062.500</w:t>
            </w:r>
          </w:p>
        </w:tc>
      </w:tr>
    </w:tbl>
    <w:p>
      <w:pPr>
        <w:jc w:val="left"/>
      </w:pPr>
      <w:r>
        <w:t>Diese Steuerlast würde die Sanierung kippen (Liquidität der Plan-Restruktur nicht ausreichend).</w:t>
      </w:r>
    </w:p>
    <w:p>
      <w:pPr>
        <w:pStyle w:val="Heading2"/>
      </w:pPr>
      <w:r>
        <w:rPr>
          <w:rFonts w:ascii="Times New Roman" w:hAnsi="Times New Roman"/>
        </w:rPr>
        <w:t>VII. Konsistenz-Pruefung (Mit § 3a EStG, Antrag rechtzeitig)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Verbleibender Sanierungsertrag KSt nach § 3a III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26.000.000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3a Abs. 1 EStG Steuerfreiheit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26.000.000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KSt 2026 Sanierungsanteil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Verbleibender Sanierungsertrag GewSt nach § 7b i.V.m. § 3a III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7b GewStG i.V.m. § 3a Abs. 1 EStG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GewSt 2026 Sanierungsanteil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VIII. Bindungswirkung des § 3a IV EStG-Antrags</w:t>
      </w:r>
    </w:p>
    <w:p>
      <w:pPr>
        <w:jc w:val="left"/>
      </w:pPr>
      <w:r>
        <w:t>Der Antrag nach § 3a Abs. 4 EStG ist bindend (irrevocable). Die Schuldnerin kann den Antrag nicht zurückziehen, sobald er gestellt ist. Folge:</w:t>
      </w:r>
    </w:p>
    <w:p>
      <w:pPr>
        <w:pStyle w:val="ListBullet"/>
      </w:pPr>
      <w:r>
        <w:t>Die Verlustverrechnung nach § 3a Abs. 3 EStG entfaltet sich zwingend.</w:t>
      </w:r>
    </w:p>
    <w:p>
      <w:pPr>
        <w:pStyle w:val="ListBullet"/>
      </w:pPr>
      <w:r>
        <w:t>Verlustvortrag 12 Mio EUR (KSt) und 14 Mio EUR (GewSt) sind aufgezehrt — können nicht mehr für künftige Gewinne genutzt werden.</w:t>
      </w:r>
    </w:p>
    <w:p>
      <w:pPr>
        <w:pStyle w:val="ListBullet"/>
      </w:pPr>
      <w:r>
        <w:t>Der Wertverlust des Verlustvortrags wird steuerlich ausgeglichen durch die Steuerfreiheit der 26 Mio EUR (KSt) bzw. 24 Mio EUR (GewSt) Sanierungsertrag.</w:t>
      </w:r>
    </w:p>
    <w:p>
      <w:pPr>
        <w:jc w:val="left"/>
      </w:pPr>
      <w:r>
        <w:t>Wirtschaftlich gewollt — daher Antrag stellen.</w:t>
      </w:r>
    </w:p>
    <w:p>
      <w:pPr>
        <w:pStyle w:val="Heading2"/>
      </w:pPr>
      <w:r>
        <w:rPr>
          <w:rFonts w:ascii="Times New Roman" w:hAnsi="Times New Roman"/>
        </w:rPr>
        <w:t>IX. Anlagenmappe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 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Sanierungsertragsberechnung 38 Mio EUR (Aktenstück 05)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 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Diese Matrix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 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Bescheid Verlustvortrag KSt zum 31.12.2024 v. 14.03.2025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 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Bescheid Gewerbeverlust GewSt zum 31.12.2024 v. 14.03.2025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 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IDW S6-Sanierungskonzept Buchner &amp; Voltz v. 25.01.2026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 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Gläubigerausschuss-Protokoll v. 25.02.2026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 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Plan-Eckpunkte v. 09.02.2026</w:t>
            </w:r>
          </w:p>
        </w:tc>
      </w:tr>
    </w:tbl>
    <w:p>
      <w:pPr>
        <w:jc w:val="left"/>
      </w:pPr>
      <w:r>
        <w:t>— gez. Voltz (StB), Stand 27.02.2026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