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Finanzamt Erfurt — Zwischenstand und Antrag verbindliche Auskunft § 89 AO</w:t>
      </w:r>
    </w:p>
    <w:p>
      <w:pPr>
        <w:pStyle w:val="Heading2"/>
      </w:pPr>
      <w:r>
        <w:rPr>
          <w:rFonts w:ascii="Times New Roman" w:hAnsi="Times New Roman"/>
        </w:rPr>
        <w:t>A. Antrag verbindliche Auskunft § 89 AO</w:t>
      </w:r>
    </w:p>
    <w:p>
      <w:pPr>
        <w:jc w:val="left"/>
      </w:pPr>
      <w:r>
        <w:rPr>
          <w:b/>
        </w:rPr>
        <w:t>Absender:</w:t>
      </w:r>
      <w:r>
        <w:t xml:space="preserve"> Grossbach Druckguss &amp; Präzision GmbH &amp; Co. KG, vertreten durch StB Dr. Thorsten Engelmeier</w:t>
      </w:r>
    </w:p>
    <w:p>
      <w:pPr>
        <w:jc w:val="left"/>
      </w:pPr>
      <w:r>
        <w:rPr>
          <w:b/>
        </w:rPr>
        <w:t>Empfänger:</w:t>
      </w:r>
      <w:r>
        <w:t xml:space="preserve"> Finanzamt Erfurt, Bahnhofstrasse 4, 99084 Erfurt</w:t>
      </w:r>
    </w:p>
    <w:p>
      <w:pPr>
        <w:jc w:val="left"/>
      </w:pPr>
      <w:r>
        <w:rPr>
          <w:b/>
        </w:rPr>
        <w:t>Datum:</w:t>
      </w:r>
      <w:r>
        <w:t xml:space="preserve"> 03.03.2026</w:t>
      </w:r>
    </w:p>
    <w:p>
      <w:pPr>
        <w:jc w:val="left"/>
      </w:pPr>
      <w:r>
        <w:rPr>
          <w:b/>
        </w:rPr>
        <w:t>StNr.:</w:t>
      </w:r>
      <w:r>
        <w:t xml:space="preserve"> 156/120/82736</w:t>
      </w:r>
    </w:p>
    <w:p>
      <w:pPr>
        <w:jc w:val="left"/>
      </w:pPr>
      <w:r>
        <w:rPr>
          <w:b/>
        </w:rPr>
        <w:t>Aktenzeichen Vorgang:</w:t>
      </w:r>
      <w:r>
        <w:t xml:space="preserve"> Sanierung 2026/188</w:t>
      </w:r>
    </w:p>
    <w:p/>
    <w:p>
      <w:pPr>
        <w:pStyle w:val="Heading3"/>
      </w:pPr>
      <w:r>
        <w:rPr>
          <w:rFonts w:ascii="Times New Roman" w:hAnsi="Times New Roman"/>
        </w:rPr>
        <w:t>Sehr geehrte Damen und Herren,</w:t>
      </w:r>
    </w:p>
    <w:p>
      <w:pPr>
        <w:jc w:val="left"/>
      </w:pPr>
      <w:r>
        <w:t>wir beantragen namens und im Auftrag unserer Mandantin, der Grossbach Druckguss &amp; Präzision GmbH &amp; Co. KG (HRA 6128 AG Erfurt) und der Grossbach Verwaltungs-GmbH (HRB 31412 AG Erfurt) eine</w:t>
      </w:r>
    </w:p>
    <w:p>
      <w:pPr>
        <w:jc w:val="left"/>
      </w:pPr>
      <w:r>
        <w:rPr>
          <w:b/>
        </w:rPr>
        <w:t>verbindliche Auskunft nach § 89 Abs. 2 AO</w:t>
      </w:r>
    </w:p>
    <w:p>
      <w:pPr>
        <w:jc w:val="left"/>
      </w:pPr>
      <w:r>
        <w:t>zu folgenden Rechtsfragen aus dem laufenden Schutzschirmverfahren AG Erfurt 60 IN 188/26.</w:t>
      </w:r>
    </w:p>
    <w:p>
      <w:pPr>
        <w:pStyle w:val="Heading3"/>
      </w:pPr>
      <w:r>
        <w:rPr>
          <w:rFonts w:ascii="Times New Roman" w:hAnsi="Times New Roman"/>
        </w:rPr>
        <w:t>I. Sachverhalt</w:t>
      </w:r>
    </w:p>
    <w:p>
      <w:pPr>
        <w:jc w:val="left"/>
      </w:pPr>
      <w:r>
        <w:t>Wir verweisen auf den Sachverhalt unseres Antrags nach § 3a Abs. 4 EStG. In Kurzform: Insolvenzplanverfahren mit Forderungsverzicht 38 Mio EUR; Plan-Vorlage geplant 30.04.2026; Bestätigung erwartet 25.06.2026.</w:t>
      </w:r>
    </w:p>
    <w:p>
      <w:pPr>
        <w:pStyle w:val="Heading3"/>
      </w:pPr>
      <w:r>
        <w:rPr>
          <w:rFonts w:ascii="Times New Roman" w:hAnsi="Times New Roman"/>
        </w:rPr>
        <w:t>II. Rechtsfragen</w:t>
      </w:r>
    </w:p>
    <w:p>
      <w:pPr>
        <w:jc w:val="left"/>
      </w:pPr>
      <w:r>
        <w:t>Wir bitten um verbindliche Auskunft zu folgenden Fragen:</w:t>
      </w:r>
    </w:p>
    <w:p>
      <w:pPr>
        <w:jc w:val="left"/>
      </w:pPr>
      <w:r>
        <w:rPr>
          <w:b/>
        </w:rPr>
        <w:t>Frage 1 (Hauptfrage):</w:t>
      </w:r>
      <w:r>
        <w:t xml:space="preserve"> Erfüllt der vorliegende Sachverhalt die Voraussetzungen einer </w:t>
      </w:r>
      <w:r>
        <w:rPr>
          <w:b/>
        </w:rPr>
        <w:t>unternehmensbezogenen Sanierung</w:t>
      </w:r>
      <w:r>
        <w:t xml:space="preserve"> i.S.v. § 3a Abs. 2 EStG mit folgenden Merkmalen?</w:t>
      </w:r>
    </w:p>
    <w:p>
      <w:pPr>
        <w:pStyle w:val="ListBullet"/>
      </w:pPr>
      <w:r>
        <w:t>Sanierungsbedürftigkeit (durch Schutzschirmverfahren AG Erfurt 60 IN 188/26)</w:t>
      </w:r>
    </w:p>
    <w:p>
      <w:pPr>
        <w:pStyle w:val="ListBullet"/>
      </w:pPr>
      <w:r>
        <w:t>Sanierungsfähigkeit (IDW S6-Konzept Buchner &amp; Voltz v. 25.01.2026)</w:t>
      </w:r>
    </w:p>
    <w:p>
      <w:pPr>
        <w:pStyle w:val="ListBullet"/>
      </w:pPr>
      <w:r>
        <w:t>Sanierungseignung (Plan-Eckpunkte mit Forderungsverzicht 38 Mio EUR, Investor LR Industrial 6 Mio EUR, Pivot Solar)</w:t>
      </w:r>
    </w:p>
    <w:p>
      <w:pPr>
        <w:pStyle w:val="ListBullet"/>
      </w:pPr>
      <w:r>
        <w:t>Sanierungsabsicht der Gläubiger (Gläubigerausschuss-Protokoll v. 25.02.2026)</w:t>
      </w:r>
    </w:p>
    <w:p>
      <w:pPr>
        <w:jc w:val="left"/>
      </w:pPr>
      <w:r>
        <w:rPr>
          <w:b/>
        </w:rPr>
        <w:t>Frage 2:</w:t>
      </w:r>
      <w:r>
        <w:t xml:space="preserve"> Wird der KSt-Verlustvortrag der Komplementär-GmbH (Grossbach Verwaltungs-GmbH) zum 31.12.2025 in Höhe von 12.000.000 EUR sowie der GewSt-Verlustvortrag der KG zum 31.12.2025 in Höhe von 14.000.000 EUR nach § 3a Abs. 3 EStG (sinngemäß für GewSt: § 7b GewStG i.V.m. § 3a Abs. 3 EStG) </w:t>
      </w:r>
      <w:r>
        <w:rPr>
          <w:b/>
        </w:rPr>
        <w:t>zwingend mit dem Sanierungsertrag verrechnet</w:t>
      </w:r>
      <w:r>
        <w:t>, sodass der verbleibende Sanierungsertrag — 26 Mio EUR (KSt) bzw. 24 Mio EUR (GewSt) — der Steuerbefreiung nach § 3a Abs. 1 EStG bzw. § 7b GewStG unterliegt?</w:t>
      </w:r>
    </w:p>
    <w:p>
      <w:pPr>
        <w:jc w:val="left"/>
      </w:pPr>
      <w:r>
        <w:rPr>
          <w:b/>
        </w:rPr>
        <w:t>Frage 3 (Sequencing):</w:t>
      </w:r>
      <w:r>
        <w:t xml:space="preserve"> Wirkt die Verlustverrechnung nach § 3a Abs. 3 EStG </w:t>
      </w:r>
      <w:r>
        <w:rPr>
          <w:b/>
        </w:rPr>
        <w:t>vor</w:t>
      </w:r>
      <w:r>
        <w:t xml:space="preserve"> dem nachfolgenden Anteilsuebertragungs-Closing (Investor LR Industrial AG, voraussichtliches Closing Q3/2026) ein, sodass der Verlustvortrag im Sanierungsjahr 2026 noch verfügbar ist (und nicht erst durch § 8c KStG nach Anteilsübertragung untergeht)? Prüfen Sie hilfsweise, ob § 8d KStG (fortfuehrungsgebundener Verlustvortrag) zur Verfügung steht.</w:t>
      </w:r>
    </w:p>
    <w:p>
      <w:pPr>
        <w:jc w:val="left"/>
      </w:pPr>
      <w:r>
        <w:rPr>
          <w:b/>
        </w:rPr>
        <w:t>Frage 4 (Antrag § 3a IV EStG-Zeitpunkt):</w:t>
      </w:r>
      <w:r>
        <w:t xml:space="preserve"> Bestätigen Sie, dass der Antrag nach § 3a Abs. 4 EStG bis zur Bestandskraft des KSt-Bescheids 2026 gestellt werden kann (entsprechend der Bindungswirkung des § 3a Abs. 4 EStG). Inwieweit ist die Linie des FG Koeln, Urt. v. 04.11.2025 — 12 K 1413/25, für die hier vorliegende Konstellation einschlägig?</w:t>
      </w:r>
    </w:p>
    <w:p>
      <w:pPr>
        <w:jc w:val="left"/>
      </w:pPr>
      <w:r>
        <w:rPr>
          <w:b/>
        </w:rPr>
        <w:t>Frage 5 (Behandlung Gesellschafterdarlehen):</w:t>
      </w:r>
      <w:r>
        <w:t xml:space="preserve"> Inwieweit ist der Verzicht des Gesellschafters Friedhelm Grossbach auf das Gesellschafterdarlehen i.H.v. 4.000.000 EUR als </w:t>
      </w:r>
      <w:r>
        <w:rPr>
          <w:b/>
        </w:rPr>
        <w:t>Einlage</w:t>
      </w:r>
      <w:r>
        <w:t xml:space="preserve"> zu qualifizieren und damit aus dem steuerbefreiten Sanierungsertrag nach § 3a EStG </w:t>
      </w:r>
      <w:r>
        <w:rPr>
          <w:b/>
        </w:rPr>
        <w:t>herauszurechnen</w:t>
      </w:r>
      <w:r>
        <w:t>?</w:t>
      </w:r>
    </w:p>
    <w:p>
      <w:pPr>
        <w:pStyle w:val="Heading3"/>
      </w:pPr>
      <w:r>
        <w:rPr>
          <w:rFonts w:ascii="Times New Roman" w:hAnsi="Times New Roman"/>
        </w:rPr>
        <w:t>III. Bindungswirkungserklärung</w:t>
      </w:r>
    </w:p>
    <w:p>
      <w:pPr>
        <w:jc w:val="left"/>
      </w:pPr>
      <w:r>
        <w:t>Wir beantragen die Verbindlichkeit der Auskunft i.S.v. § 89 Abs. 2 Satz 1 AO. Eine Gebühr nach § 89 Abs. 3 AO i.V.m. § 6 BEStMG-Verfahrensgesetz wird in voller Höhe nach den dortigen Sätzen berechnet (Wert: 38 Mio EUR Sanierungsertrag, mind. 91.456 EUR Gebühr; abh. von amtlicher Festsetzung).</w:t>
      </w:r>
    </w:p>
    <w:p>
      <w:pPr>
        <w:pStyle w:val="Heading3"/>
      </w:pPr>
      <w:r>
        <w:rPr>
          <w:rFonts w:ascii="Times New Roman" w:hAnsi="Times New Roman"/>
        </w:rPr>
        <w:t>IV. Anlagen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1</w:t>
            </w:r>
          </w:p>
        </w:tc>
        <w:tc>
          <w:tcPr>
            <w:tcW w:type="dxa" w:w="4536"/>
          </w:tcPr>
          <w:p>
            <w:r>
              <w:rPr>
                <w:rFonts w:ascii="Times New Roman" w:hAnsi="Times New Roman"/>
                <w:sz w:val="20"/>
              </w:rPr>
              <w:t>Sanierungsertragsberechnung 38 Mio EUR</w:t>
            </w:r>
          </w:p>
        </w:tc>
      </w:tr>
      <w:tr>
        <w:tc>
          <w:tcPr>
            <w:tcW w:type="dxa" w:w="4536"/>
          </w:tcPr>
          <w:p>
            <w:r>
              <w:rPr>
                <w:rFonts w:ascii="Times New Roman" w:hAnsi="Times New Roman"/>
                <w:sz w:val="20"/>
              </w:rPr>
              <w:t>2</w:t>
            </w:r>
          </w:p>
        </w:tc>
        <w:tc>
          <w:tcPr>
            <w:tcW w:type="dxa" w:w="4536"/>
          </w:tcPr>
          <w:p>
            <w:r>
              <w:rPr>
                <w:rFonts w:ascii="Times New Roman" w:hAnsi="Times New Roman"/>
                <w:sz w:val="20"/>
              </w:rPr>
              <w:t>Verrechnungsmatrix § 3a III EStG</w:t>
            </w:r>
          </w:p>
        </w:tc>
      </w:tr>
      <w:tr>
        <w:tc>
          <w:tcPr>
            <w:tcW w:type="dxa" w:w="4536"/>
          </w:tcPr>
          <w:p>
            <w:r>
              <w:rPr>
                <w:rFonts w:ascii="Times New Roman" w:hAnsi="Times New Roman"/>
                <w:sz w:val="20"/>
              </w:rPr>
              <w:t>3</w:t>
            </w:r>
          </w:p>
        </w:tc>
        <w:tc>
          <w:tcPr>
            <w:tcW w:type="dxa" w:w="4536"/>
          </w:tcPr>
          <w:p>
            <w:r>
              <w:rPr>
                <w:rFonts w:ascii="Times New Roman" w:hAnsi="Times New Roman"/>
                <w:sz w:val="20"/>
              </w:rPr>
              <w:t>Plan-Eckpunkte v. 09.02.2026</w:t>
            </w:r>
          </w:p>
        </w:tc>
      </w:tr>
      <w:tr>
        <w:tc>
          <w:tcPr>
            <w:tcW w:type="dxa" w:w="4536"/>
          </w:tcPr>
          <w:p>
            <w:r>
              <w:rPr>
                <w:rFonts w:ascii="Times New Roman" w:hAnsi="Times New Roman"/>
                <w:sz w:val="20"/>
              </w:rPr>
              <w:t>4</w:t>
            </w:r>
          </w:p>
        </w:tc>
        <w:tc>
          <w:tcPr>
            <w:tcW w:type="dxa" w:w="4536"/>
          </w:tcPr>
          <w:p>
            <w:r>
              <w:rPr>
                <w:rFonts w:ascii="Times New Roman" w:hAnsi="Times New Roman"/>
                <w:sz w:val="20"/>
              </w:rPr>
              <w:t>IDW S6-Sanierungskonzept Buchner &amp; Voltz v. 25.01.2026</w:t>
            </w:r>
          </w:p>
        </w:tc>
      </w:tr>
      <w:tr>
        <w:tc>
          <w:tcPr>
            <w:tcW w:type="dxa" w:w="4536"/>
          </w:tcPr>
          <w:p>
            <w:r>
              <w:rPr>
                <w:rFonts w:ascii="Times New Roman" w:hAnsi="Times New Roman"/>
                <w:sz w:val="20"/>
              </w:rPr>
              <w:t>5</w:t>
            </w:r>
          </w:p>
        </w:tc>
        <w:tc>
          <w:tcPr>
            <w:tcW w:type="dxa" w:w="4536"/>
          </w:tcPr>
          <w:p>
            <w:r>
              <w:rPr>
                <w:rFonts w:ascii="Times New Roman" w:hAnsi="Times New Roman"/>
                <w:sz w:val="20"/>
              </w:rPr>
              <w:t>Gläubigerausschuss-Protokoll v. 25.02.2026</w:t>
            </w:r>
          </w:p>
        </w:tc>
      </w:tr>
      <w:tr>
        <w:tc>
          <w:tcPr>
            <w:tcW w:type="dxa" w:w="4536"/>
          </w:tcPr>
          <w:p>
            <w:r>
              <w:rPr>
                <w:rFonts w:ascii="Times New Roman" w:hAnsi="Times New Roman"/>
                <w:sz w:val="20"/>
              </w:rPr>
              <w:t>6</w:t>
            </w:r>
          </w:p>
        </w:tc>
        <w:tc>
          <w:tcPr>
            <w:tcW w:type="dxa" w:w="4536"/>
          </w:tcPr>
          <w:p>
            <w:r>
              <w:rPr>
                <w:rFonts w:ascii="Times New Roman" w:hAnsi="Times New Roman"/>
                <w:sz w:val="20"/>
              </w:rPr>
              <w:t>HR-Auszüge HRA 6128 und HRB 31412</w:t>
            </w:r>
          </w:p>
        </w:tc>
      </w:tr>
      <w:tr>
        <w:tc>
          <w:tcPr>
            <w:tcW w:type="dxa" w:w="4536"/>
          </w:tcPr>
          <w:p>
            <w:r>
              <w:rPr>
                <w:rFonts w:ascii="Times New Roman" w:hAnsi="Times New Roman"/>
                <w:sz w:val="20"/>
              </w:rPr>
              <w:t>7</w:t>
            </w:r>
          </w:p>
        </w:tc>
        <w:tc>
          <w:tcPr>
            <w:tcW w:type="dxa" w:w="4536"/>
          </w:tcPr>
          <w:p>
            <w:r>
              <w:rPr>
                <w:rFonts w:ascii="Times New Roman" w:hAnsi="Times New Roman"/>
                <w:sz w:val="20"/>
              </w:rPr>
              <w:t>Bescheid Verlustvortrag KSt zum 31.12.2024</w:t>
            </w:r>
          </w:p>
        </w:tc>
      </w:tr>
      <w:tr>
        <w:tc>
          <w:tcPr>
            <w:tcW w:type="dxa" w:w="4536"/>
          </w:tcPr>
          <w:p>
            <w:r>
              <w:rPr>
                <w:rFonts w:ascii="Times New Roman" w:hAnsi="Times New Roman"/>
                <w:sz w:val="20"/>
              </w:rPr>
              <w:t>8</w:t>
            </w:r>
          </w:p>
        </w:tc>
        <w:tc>
          <w:tcPr>
            <w:tcW w:type="dxa" w:w="4536"/>
          </w:tcPr>
          <w:p>
            <w:r>
              <w:rPr>
                <w:rFonts w:ascii="Times New Roman" w:hAnsi="Times New Roman"/>
                <w:sz w:val="20"/>
              </w:rPr>
              <w:t>Bescheid Gewerbeverlust GewSt zum 31.12.2024</w:t>
            </w:r>
          </w:p>
        </w:tc>
      </w:tr>
    </w:tbl>
    <w:p>
      <w:pPr>
        <w:jc w:val="left"/>
      </w:pPr>
      <w:r>
        <w:t>Mit freundlichen Gruessen</w:t>
      </w:r>
    </w:p>
    <w:p>
      <w:pPr>
        <w:jc w:val="left"/>
      </w:pPr>
      <w:r>
        <w:t>StB Dr. Thorsten Engelmeier | StB Magdalena Voltz</w:t>
      </w:r>
    </w:p>
    <w:p/>
    <w:p>
      <w:pPr>
        <w:pStyle w:val="Heading2"/>
      </w:pPr>
      <w:r>
        <w:rPr>
          <w:rFonts w:ascii="Times New Roman" w:hAnsi="Times New Roman"/>
        </w:rPr>
        <w:t>B. Zwischenstand-Antwort Finanzamt Erfurt vom 11.05.2026</w:t>
      </w:r>
    </w:p>
    <w:p>
      <w:pPr>
        <w:jc w:val="left"/>
      </w:pPr>
      <w:r>
        <w:rPr>
          <w:b/>
        </w:rPr>
        <w:t>Absender:</w:t>
      </w:r>
      <w:r>
        <w:t xml:space="preserve"> Finanzamt Erfurt, Sachgebietsleiter Koerperschaftsteuer Herr Klaus-Dieter Weissbrod</w:t>
      </w:r>
    </w:p>
    <w:p>
      <w:pPr>
        <w:jc w:val="left"/>
      </w:pPr>
      <w:r>
        <w:rPr>
          <w:b/>
        </w:rPr>
        <w:t>Empfänger:</w:t>
      </w:r>
      <w:r>
        <w:t xml:space="preserve"> StB Dr. Thorsten Engelmeier, Engelmeier &amp; Partner, Erfurt</w:t>
      </w:r>
    </w:p>
    <w:p>
      <w:pPr>
        <w:jc w:val="left"/>
      </w:pPr>
      <w:r>
        <w:rPr>
          <w:b/>
        </w:rPr>
        <w:t>Datum:</w:t>
      </w:r>
      <w:r>
        <w:t xml:space="preserve"> 11.05.2026</w:t>
      </w:r>
    </w:p>
    <w:p>
      <w:pPr>
        <w:jc w:val="left"/>
      </w:pPr>
      <w:r>
        <w:rPr>
          <w:b/>
        </w:rPr>
        <w:t>Betreff:</w:t>
      </w:r>
      <w:r>
        <w:t xml:space="preserve"> Ihr Antrag auf verbindliche Auskunft v. 03.03.2026, Vorgang Sanierung 2026/188</w:t>
      </w:r>
    </w:p>
    <w:p/>
    <w:p>
      <w:pPr>
        <w:pStyle w:val="Heading3"/>
      </w:pPr>
      <w:r>
        <w:rPr>
          <w:rFonts w:ascii="Times New Roman" w:hAnsi="Times New Roman"/>
        </w:rPr>
        <w:t>Sehr geehrte Herren Engelmeier und Drosselberg,</w:t>
      </w:r>
    </w:p>
    <w:p>
      <w:pPr>
        <w:jc w:val="left"/>
      </w:pPr>
      <w:r>
        <w:t>Ihren Antrag auf verbindliche Auskunft vom 03.03.2026 habe ich erhalten. Zur Bearbeitung teile ich Ihnen den Stand mit:</w:t>
      </w:r>
    </w:p>
    <w:p>
      <w:pPr>
        <w:pStyle w:val="ListNumber"/>
      </w:pPr>
      <w:r>
        <w:t>Die Pruefung der Voraussetzungen einer unternehmensbezogenen Sanierung i.S.v. § 3a Abs. 2 EStG ist noch nicht abgeschlossen. Die in Anlage 4 vorgelegten Plan-Eckpunkte und das IDW S6-Konzept werden zustimmend gewürdigt.</w:t>
      </w:r>
    </w:p>
    <w:p>
      <w:pPr>
        <w:pStyle w:val="ListNumber"/>
      </w:pPr>
      <w:r>
        <w:rPr>
          <w:b/>
        </w:rPr>
        <w:t>Frage 1:</w:t>
      </w:r>
      <w:r>
        <w:t xml:space="preserve"> Auf Basis der vorgelegten Unterlagen wird das Finanzamt voraussichtlich die Voraussetzungen einer unternehmensbezogenen Sanierung i.S.v. § 3a Abs. 2 EStG bestätigen, sobald der Insolvenzplan vom AG Erfurt bestätigt ist. Endgültige Stellungnahme nach Plan-Bestätigung.</w:t>
      </w:r>
    </w:p>
    <w:p>
      <w:pPr>
        <w:pStyle w:val="ListNumber"/>
      </w:pPr>
      <w:r>
        <w:rPr>
          <w:b/>
        </w:rPr>
        <w:t>Frage 2:</w:t>
      </w:r>
      <w:r>
        <w:t xml:space="preserve"> Die zwingende Verrechnung nach § 3a Abs. 3 EStG wird das Finanzamt anwenden. Eine Verrechnung des Verlustvortrags KSt 12 Mio EUR und Gewerbeverlust 14 Mio EUR ist vorgesehen. Der verbleibende Sanierungsertrag KSt 26 Mio EUR und GewSt 24 Mio EUR ist nach § 3a Abs. 1 EStG bzw. § 7b GewStG steuerfrei zu stellen.</w:t>
      </w:r>
    </w:p>
    <w:p>
      <w:pPr>
        <w:pStyle w:val="ListNumber"/>
      </w:pPr>
      <w:r>
        <w:rPr>
          <w:b/>
        </w:rPr>
        <w:t>Frage 3 (Sequencing § 8c KStG):</w:t>
      </w:r>
      <w:r>
        <w:t xml:space="preserve"> Hier hat das Finanzamt rechtssystematische Bedenken. Die Anteilsübertragung 100 % der Komplementär-GmbH an LR Industrial AG ist schädlicher Beteiligungserwerb i.S.v. § 8c Abs. 1 Satz 1 KStG. Der Verlustvortrag entfällt am Tag der Anteilsübertragung. Die Verlustverrechnung nach § 3a Abs. 3 EStG kann jedoch zeitlich vor dem Closing erfolgen (Sanierungsertrag entsteht mit Plan-Wirksamkeit 25.06.2026; Closing erst Q3/2026). Sequencing-Bestätigung ist zulässig.</w:t>
      </w:r>
    </w:p>
    <w:p>
      <w:pPr>
        <w:jc w:val="left"/>
      </w:pPr>
      <w:r>
        <w:t>Hilfsweise: § 8d KStG-Antrag kann gestellt werden; das Finanzamt wird die Voraussetzungen prüfen (insbes. Fortführung der Geschäftstätigkeit der Komplementär-GmbH).</w:t>
      </w:r>
    </w:p>
    <w:p>
      <w:pPr>
        <w:pStyle w:val="ListNumber"/>
      </w:pPr>
      <w:r>
        <w:rPr>
          <w:b/>
        </w:rPr>
        <w:t>Frage 4 (Antrag § 3a IV EStG-Zeitpunkt):</w:t>
      </w:r>
      <w:r>
        <w:t xml:space="preserve"> Das Finanzamt verweist auf die Rechtsprechung des FG Koeln, Urt. v. 04.11.2025 — 12 K 1413/25. Ein Antrag nach § 3a Abs. 4 EStG ist bis zur Bestandskraft des KSt-Bescheids 2026 grundsätzlich zulässig; bei verspäteter Antragstellung ist allerdings im Einzelfall zu prüfen, ob die Sanierungsabsicht der Gläubiger zum Zeitpunkt der Antragstellung noch nachweisbar dokumentiert ist. Wir empfehlen daher dringend, den Antrag spätestens mit der Plan-Vorlage zu stellen.</w:t>
      </w:r>
    </w:p>
    <w:p>
      <w:pPr>
        <w:pStyle w:val="ListNumber"/>
      </w:pPr>
      <w:r>
        <w:rPr>
          <w:b/>
        </w:rPr>
        <w:t>Frage 5 (Gesellschafterdarlehen):</w:t>
      </w:r>
      <w:r>
        <w:t xml:space="preserve"> Der Verzicht des Gesellschafters Friedhelm Grossbach auf das Gesellschafterdarlehen i.H.v. 4.000.000 EUR ist als </w:t>
      </w:r>
      <w:r>
        <w:rPr>
          <w:b/>
        </w:rPr>
        <w:t>Einlage</w:t>
      </w:r>
      <w:r>
        <w:t xml:space="preserve"> zu qualifizieren und nicht Sanierungsertrag i.S.v. § 3a EStG. Diese Position ist daher aus dem Sanierungsertrag herauszurechnen. Wir bitten um entsprechende Korrektur der Berechnung.</w:t>
      </w:r>
    </w:p>
    <w:p>
      <w:pPr>
        <w:jc w:val="left"/>
      </w:pPr>
      <w:r>
        <w:t>Die abschliessende verbindliche Auskunft wird nach Plan-Bestätigung und nach Vorlage des korrigierten Antrags ergehen. Eine Gebühr nach § 89 Abs. 3 AO wird gesondert festgesetzt.</w:t>
      </w:r>
    </w:p>
    <w:p>
      <w:pPr>
        <w:jc w:val="left"/>
      </w:pPr>
      <w:r>
        <w:t>Mit freundlichen Gruessen</w:t>
      </w:r>
    </w:p>
    <w:p>
      <w:pPr>
        <w:jc w:val="left"/>
      </w:pPr>
      <w:r>
        <w:t>Klaus-Dieter Weissbrod</w:t>
      </w:r>
    </w:p>
    <w:p>
      <w:pPr>
        <w:jc w:val="left"/>
      </w:pPr>
      <w:r>
        <w:t>Sachgebietsleiter, Finanzamt Erfurt</w:t>
      </w:r>
    </w:p>
    <w:p/>
    <w:p>
      <w:pPr>
        <w:pStyle w:val="Heading2"/>
      </w:pPr>
      <w:r>
        <w:rPr>
          <w:rFonts w:ascii="Times New Roman" w:hAnsi="Times New Roman"/>
        </w:rPr>
        <w:t>C. Konsequenzen aus der Zwischenstand-Antwort</w:t>
      </w:r>
    </w:p>
    <w:p>
      <w:pPr>
        <w:jc w:val="left"/>
      </w:pPr>
      <w:r>
        <w:t xml:space="preserve">Die Zwischenstand-Antwort vom 11.05.2026 ist insgesamt </w:t>
      </w:r>
      <w:r>
        <w:rPr>
          <w:b/>
        </w:rPr>
        <w:t>positiv</w:t>
      </w:r>
      <w:r>
        <w:t>, aber löst eine Korrektur aus: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Konsequenz</w:t>
            </w:r>
          </w:p>
        </w:tc>
      </w:tr>
      <w:tr>
        <w:tc>
          <w:tcPr>
            <w:tcW w:type="dxa" w:w="4536"/>
          </w:tcPr>
          <w:p>
            <w:r>
              <w:rPr>
                <w:rFonts w:ascii="Times New Roman" w:hAnsi="Times New Roman"/>
                <w:sz w:val="20"/>
              </w:rPr>
              <w:t>Frage 1 — unternehmensbezogene Sanierung</w:t>
            </w:r>
          </w:p>
        </w:tc>
        <w:tc>
          <w:tcPr>
            <w:tcW w:type="dxa" w:w="4536"/>
          </w:tcPr>
          <w:p>
            <w:r>
              <w:rPr>
                <w:rFonts w:ascii="Times New Roman" w:hAnsi="Times New Roman"/>
                <w:sz w:val="20"/>
              </w:rPr>
              <w:t>Bestätigung steht in Aussicht</w:t>
            </w:r>
          </w:p>
        </w:tc>
      </w:tr>
      <w:tr>
        <w:tc>
          <w:tcPr>
            <w:tcW w:type="dxa" w:w="4536"/>
          </w:tcPr>
          <w:p>
            <w:r>
              <w:rPr>
                <w:rFonts w:ascii="Times New Roman" w:hAnsi="Times New Roman"/>
                <w:sz w:val="20"/>
              </w:rPr>
              <w:t>Frage 2 — Verrechnung § 3a III EStG</w:t>
            </w:r>
          </w:p>
        </w:tc>
        <w:tc>
          <w:tcPr>
            <w:tcW w:type="dxa" w:w="4536"/>
          </w:tcPr>
          <w:p>
            <w:r>
              <w:rPr>
                <w:rFonts w:ascii="Times New Roman" w:hAnsi="Times New Roman"/>
                <w:sz w:val="20"/>
              </w:rPr>
              <w:t>Voll anerkannt</w:t>
            </w:r>
          </w:p>
        </w:tc>
      </w:tr>
      <w:tr>
        <w:tc>
          <w:tcPr>
            <w:tcW w:type="dxa" w:w="4536"/>
          </w:tcPr>
          <w:p>
            <w:r>
              <w:rPr>
                <w:rFonts w:ascii="Times New Roman" w:hAnsi="Times New Roman"/>
                <w:sz w:val="20"/>
              </w:rPr>
              <w:t>Frage 3 — Sequencing § 8c KStG</w:t>
            </w:r>
          </w:p>
        </w:tc>
        <w:tc>
          <w:tcPr>
            <w:tcW w:type="dxa" w:w="4536"/>
          </w:tcPr>
          <w:p>
            <w:r>
              <w:rPr>
                <w:rFonts w:ascii="Times New Roman" w:hAnsi="Times New Roman"/>
                <w:sz w:val="20"/>
              </w:rPr>
              <w:t>Zulässig, soweit Verlustverrechnung vor Closing erfolgt</w:t>
            </w:r>
          </w:p>
        </w:tc>
      </w:tr>
      <w:tr>
        <w:tc>
          <w:tcPr>
            <w:tcW w:type="dxa" w:w="4536"/>
          </w:tcPr>
          <w:p>
            <w:r>
              <w:rPr>
                <w:rFonts w:ascii="Times New Roman" w:hAnsi="Times New Roman"/>
                <w:sz w:val="20"/>
              </w:rPr>
              <w:t>Frage 4 — Zeitpunkt § 3a IV-Antrag</w:t>
            </w:r>
          </w:p>
        </w:tc>
        <w:tc>
          <w:tcPr>
            <w:tcW w:type="dxa" w:w="4536"/>
          </w:tcPr>
          <w:p>
            <w:r>
              <w:rPr>
                <w:rFonts w:ascii="Times New Roman" w:hAnsi="Times New Roman"/>
                <w:sz w:val="20"/>
              </w:rPr>
              <w:t>Linie FG Koeln: Antrag spätestens mit Plan-Vorlage zu stellen</w:t>
            </w:r>
          </w:p>
        </w:tc>
      </w:tr>
      <w:tr>
        <w:tc>
          <w:tcPr>
            <w:tcW w:type="dxa" w:w="4536"/>
          </w:tcPr>
          <w:p>
            <w:r>
              <w:rPr>
                <w:rFonts w:ascii="Times New Roman" w:hAnsi="Times New Roman"/>
                <w:sz w:val="20"/>
              </w:rPr>
              <w:t>Frage 5 — Gesellschafterdarlehen</w:t>
            </w:r>
          </w:p>
        </w:tc>
        <w:tc>
          <w:tcPr>
            <w:tcW w:type="dxa" w:w="4536"/>
          </w:tcPr>
          <w:p>
            <w:r>
              <w:rPr>
                <w:rFonts w:ascii="Times New Roman" w:hAnsi="Times New Roman"/>
                <w:b/>
                <w:sz w:val="20"/>
              </w:rPr>
              <w:t>Einlage</w:t>
            </w:r>
            <w:r>
              <w:rPr>
                <w:rFonts w:ascii="Times New Roman" w:hAnsi="Times New Roman"/>
                <w:sz w:val="20"/>
              </w:rPr>
              <w:t>: 4 Mio EUR aus Sanierungsertrag herausrechnen</w:t>
            </w:r>
          </w:p>
        </w:tc>
      </w:tr>
    </w:tbl>
    <w:p>
      <w:pPr>
        <w:jc w:val="left"/>
      </w:pPr>
      <w:r>
        <w:rPr>
          <w:b/>
        </w:rPr>
        <w:t>Folge:</w:t>
      </w:r>
      <w:r>
        <w:t xml:space="preserve"> Antrag § 3a IV EStG wird wie geplant am 28.04.2026 versendet (vor Plan-Bestätigung), die Berechnung wird auf 34 Mio EUR Sanierungsertrag korrigiert (4 Mio EUR Einlage herausgerechnet). Die Verrechnungsmatrix wird angepasst: 34 - 12 = 22 Mio EUR verbleiben (KSt); 34 - 14 = 20 Mio EUR verbleiben (GewSt).</w:t>
      </w:r>
    </w:p>
    <w:p>
      <w:pPr>
        <w:jc w:val="left"/>
      </w:pPr>
      <w:r>
        <w:rPr>
          <w:b/>
        </w:rPr>
        <w:t>ABER:</w:t>
      </w:r>
      <w:r>
        <w:t xml:space="preserve"> Im Mandat ist der Sanierungsertrag mit </w:t>
      </w:r>
      <w:r>
        <w:rPr>
          <w:b/>
        </w:rPr>
        <w:t>38 Mio EUR</w:t>
      </w:r>
      <w:r>
        <w:t xml:space="preserve"> als Plan-Basis festgelegt; die Einlage-Korrektur wird in einem Nachtragsmemo (Aktenstück 11) thematisiert und mit dem FA Erfurt geklärt. Für die weiteren Aktenstücke bleibt die Hauptzahl 38 Mio EUR bestehen.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