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Korrespondenz Engelmeier — Diskussion "Antrag zu spät" und Einlage-Korrektur</w:t>
      </w:r>
    </w:p>
    <w:p>
      <w:pPr>
        <w:pStyle w:val="Heading2"/>
      </w:pPr>
      <w:r>
        <w:rPr>
          <w:rFonts w:ascii="Times New Roman" w:hAnsi="Times New Roman"/>
        </w:rPr>
        <w:t>A. Mail StB Engelmeier an RA Drosselberg vom 24.05.2026 (zwei Wochen vor Plan-Bestätigung)</w:t>
      </w:r>
    </w:p>
    <w:p>
      <w:pPr>
        <w:jc w:val="left"/>
      </w:pPr>
      <w:r>
        <w:rPr>
          <w:b/>
        </w:rPr>
        <w:t>Von:</w:t>
      </w:r>
      <w:r>
        <w:t xml:space="preserve"> thorsten.engelmeier@engelmeier-stb.de</w:t>
      </w:r>
    </w:p>
    <w:p>
      <w:pPr>
        <w:jc w:val="left"/>
      </w:pPr>
      <w:r>
        <w:rPr>
          <w:b/>
        </w:rPr>
        <w:t>An:</w:t>
      </w:r>
      <w:r>
        <w:t xml:space="preserve"> drosselberg@drosselberg-partner.de</w:t>
      </w:r>
    </w:p>
    <w:p>
      <w:pPr>
        <w:jc w:val="left"/>
      </w:pPr>
      <w:r>
        <w:rPr>
          <w:b/>
        </w:rPr>
        <w:t>Cc:</w:t>
      </w:r>
      <w:r>
        <w:t xml:space="preserve"> voltz@drosselberg-partner.de; pabst@drosselberg-partner.de; hattenberg@hattenberg-sanierung.de</w:t>
      </w:r>
    </w:p>
    <w:p>
      <w:pPr>
        <w:jc w:val="left"/>
      </w:pPr>
      <w:r>
        <w:rPr>
          <w:b/>
        </w:rPr>
        <w:t>Datum:</w:t>
      </w:r>
      <w:r>
        <w:t xml:space="preserve"> 24.05.2026, 18:42</w:t>
      </w:r>
    </w:p>
    <w:p>
      <w:pPr>
        <w:jc w:val="left"/>
      </w:pPr>
      <w:r>
        <w:rPr>
          <w:b/>
        </w:rPr>
        <w:t>Betreff:</w:t>
      </w:r>
      <w:r>
        <w:t xml:space="preserve"> Antrag § 3a IV EStG — Verzögerung und Anmerkungen</w:t>
      </w:r>
    </w:p>
    <w:p>
      <w:pPr>
        <w:jc w:val="left"/>
      </w:pPr>
      <w:r>
        <w:t>Sehr geehrter Herr Dr. Drosselberg,</w:t>
      </w:r>
    </w:p>
    <w:p>
      <w:pPr>
        <w:jc w:val="left"/>
      </w:pPr>
      <w:r>
        <w:t>ich muss Ihnen mit Bedauern mitteilen, dass ich den Antrag § 3a Abs. 4 EStG vom 28.04.2026 noch nicht beim Finanzamt Erfurt eingereicht habe. Die Anlagenmappe ist seit dem 24.04. fertig; eine elektronische Quittung der ELSTER-Einreichung liegt mir aber nicht vor. Gründe:</w:t>
      </w:r>
    </w:p>
    <w:p>
      <w:pPr>
        <w:pStyle w:val="ListNumber"/>
      </w:pPr>
      <w:r>
        <w:t>Ich hatte mit Herrn Weissbrod (FA Erfurt) am 21.05.2026 telefoniert; er meinte, der Antrag könne auch nach Plan-Bestätigung gestellt werden, solange der Bescheid 2026 noch nicht bestandskraeftig ist.</w:t>
      </w:r>
    </w:p>
    <w:p>
      <w:pPr>
        <w:pStyle w:val="ListNumber"/>
      </w:pPr>
      <w:r>
        <w:t>Die in der Verrechnungsmatrix angesetzte Hauptzahl 38 Mio EUR ist nicht ganz konsistent mit Frage 5 der verbindlichen Auskunft (Einlage Gesellschafterdarlehen 4 Mio EUR). Ich wollte das vor Versand klären.</w:t>
      </w:r>
    </w:p>
    <w:p>
      <w:pPr>
        <w:pStyle w:val="ListNumber"/>
      </w:pPr>
      <w:r>
        <w:t>Sie hatten mir die Anlage 7c "Mustertext darstellender Teil — Steuerliche Behandlung Sanierungsertrag" noch nicht final freigegeben.</w:t>
      </w:r>
    </w:p>
    <w:p>
      <w:pPr>
        <w:jc w:val="left"/>
      </w:pPr>
      <w:r>
        <w:t>Ich beabsichtige, den Antrag bis zum 17.06.2026 (einen Tag vor Eroerterungs- und Abstimmungstermin) einzureichen. Bitte um Ihr OK.</w:t>
      </w:r>
    </w:p>
    <w:p>
      <w:pPr>
        <w:jc w:val="left"/>
      </w:pPr>
      <w:r>
        <w:t>Mit freundlichen Gruessen</w:t>
      </w:r>
    </w:p>
    <w:p>
      <w:pPr>
        <w:jc w:val="left"/>
      </w:pPr>
      <w:r>
        <w:t>Dr. Thorsten Engelmeier</w:t>
      </w:r>
    </w:p>
    <w:p>
      <w:pPr>
        <w:jc w:val="left"/>
      </w:pPr>
      <w:r>
        <w:t>StB | Engelmeier &amp; Partner</w:t>
      </w:r>
    </w:p>
    <w:p>
      <w:pPr>
        <w:pStyle w:val="Heading2"/>
      </w:pPr>
      <w:r>
        <w:rPr>
          <w:rFonts w:ascii="Times New Roman" w:hAnsi="Times New Roman"/>
        </w:rPr>
        <w:t>B. Antwort RA Drosselberg vom 24.05.2026, 20:14</w:t>
      </w:r>
    </w:p>
    <w:p>
      <w:pPr>
        <w:jc w:val="left"/>
      </w:pPr>
      <w:r>
        <w:rPr>
          <w:b/>
        </w:rPr>
        <w:t>Von:</w:t>
      </w:r>
      <w:r>
        <w:t xml:space="preserve"> drosselberg@drosselberg-partner.de</w:t>
      </w:r>
    </w:p>
    <w:p>
      <w:pPr>
        <w:jc w:val="left"/>
      </w:pPr>
      <w:r>
        <w:rPr>
          <w:b/>
        </w:rPr>
        <w:t>An:</w:t>
      </w:r>
      <w:r>
        <w:t xml:space="preserve"> thorsten.engelmeier@engelmeier-stb.de</w:t>
      </w:r>
    </w:p>
    <w:p>
      <w:pPr>
        <w:jc w:val="left"/>
      </w:pPr>
      <w:r>
        <w:rPr>
          <w:b/>
        </w:rPr>
        <w:t>Cc:</w:t>
      </w:r>
      <w:r>
        <w:t xml:space="preserve"> voltz@drosselberg-partner.de; pabst@drosselberg-partner.de; hattenberg@hattenberg-sanierung.de</w:t>
      </w:r>
    </w:p>
    <w:p>
      <w:pPr>
        <w:jc w:val="left"/>
      </w:pPr>
      <w:r>
        <w:t>Sehr geehrter Herr Engelmeier,</w:t>
      </w:r>
    </w:p>
    <w:p>
      <w:pPr>
        <w:jc w:val="left"/>
      </w:pPr>
      <w:r>
        <w:t xml:space="preserve">das ist eine </w:t>
      </w:r>
      <w:r>
        <w:rPr>
          <w:b/>
        </w:rPr>
        <w:t>rote Linie</w:t>
      </w:r>
      <w:r>
        <w:t>. Bitte folgendes:</w:t>
      </w:r>
    </w:p>
    <w:p>
      <w:pPr>
        <w:pStyle w:val="ListNumber"/>
      </w:pPr>
      <w:r>
        <w:t xml:space="preserve">Reichen Sie den Antrag § 3a IV EStG </w:t>
      </w:r>
      <w:r>
        <w:rPr>
          <w:b/>
        </w:rPr>
        <w:t>morgen, 25.05.2026, 09:00 Uhr</w:t>
      </w:r>
      <w:r>
        <w:t xml:space="preserve"> per ELSTER ein. Die Anlagenmappe ist fertig, die Einlage-Korrektur löse ich gleich heute mit einer ergänzenden Stellungnahme zu Frage 5 (siehe unten).</w:t>
      </w:r>
    </w:p>
    <w:p>
      <w:pPr>
        <w:pStyle w:val="ListNumber"/>
      </w:pPr>
      <w:r>
        <w:t xml:space="preserve">Der Hinweis von Herrn Weissbrod telefonisch ist nicht bindend. Mass gebend ist die schriftliche Auskunft vom 11.05.2026 — und die verweist explizit auf die Linie des FG Koeln 12 K 1413/25, die im verspäteten Fall </w:t>
      </w:r>
      <w:r>
        <w:rPr>
          <w:b/>
        </w:rPr>
        <w:t>Praeklusion</w:t>
      </w:r>
      <w:r>
        <w:t xml:space="preserve"> der Sanierungsabsicht-Dokumentation auslösen kann.</w:t>
      </w:r>
    </w:p>
    <w:p>
      <w:pPr>
        <w:pStyle w:val="ListNumber"/>
      </w:pPr>
      <w:r>
        <w:t>Der Eroerterungs- und Abstimmungstermin am 18.06.2026 ist verfahrensrechtlich relevant für die Gläubiger-Bestätigung der Sanierungsabsicht. Wenn der Antrag erst später kommt, könnte das FA die Sanierungsabsicht-Dokumentation als auf den Antragszeitpunkt verschoben werten und dann nach der FG-Koeln-Linie kritisch sehen.</w:t>
      </w:r>
    </w:p>
    <w:p>
      <w:pPr>
        <w:jc w:val="left"/>
      </w:pPr>
      <w:r>
        <w:t>Zur Einlage-Korrektur (Frage 5 verbindliche Auskunft):</w:t>
      </w:r>
    </w:p>
    <w:p>
      <w:pPr>
        <w:jc w:val="left"/>
      </w:pPr>
      <w:r>
        <w:t xml:space="preserve">Das Finanzamt hat in der Zwischenstand-Antwort vom 11.05.2026 ausdrücklich verlangt, dass das Gesellschafterdarlehen Friedhelm Grossbach (4 Mio EUR) als Einlage zu qualifizieren ist und aus dem Sanierungsertrag herausgerechnet werden muss. Wir können den Antrag aber dennoch </w:t>
      </w:r>
      <w:r>
        <w:rPr>
          <w:b/>
        </w:rPr>
        <w:t>mit der Hauptzahl 38 Mio EUR</w:t>
      </w:r>
      <w:r>
        <w:t xml:space="preserve"> einreichen — und in der Begründung darauf hinweisen, dass die Einlage-Korrektur auf 34 Mio EUR streitig ist und im Rahmen der verbindlichen Auskunft endgültig geklärt wird. Wichtig: Wir haben dann zwei alternative Varianten in der Berechnung: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Variante</w:t>
            </w:r>
          </w:p>
        </w:tc>
        <w:tc>
          <w:tcPr>
            <w:tcW w:type="dxa" w:w="1512"/>
          </w:tcPr>
          <w:p>
            <w:r>
              <w:rPr>
                <w:rFonts w:ascii="Times New Roman" w:hAnsi="Times New Roman"/>
                <w:b/>
                <w:sz w:val="20"/>
              </w:rPr>
              <w:t>Sanierungsertrag (EUR)</w:t>
            </w:r>
          </w:p>
        </w:tc>
        <w:tc>
          <w:tcPr>
            <w:tcW w:type="dxa" w:w="1512"/>
          </w:tcPr>
          <w:p>
            <w:r>
              <w:rPr>
                <w:rFonts w:ascii="Times New Roman" w:hAnsi="Times New Roman"/>
                <w:b/>
                <w:sz w:val="20"/>
              </w:rPr>
              <w:t>Verlustvortrag KSt</w:t>
            </w:r>
          </w:p>
        </w:tc>
        <w:tc>
          <w:tcPr>
            <w:tcW w:type="dxa" w:w="1512"/>
          </w:tcPr>
          <w:p>
            <w:r>
              <w:rPr>
                <w:rFonts w:ascii="Times New Roman" w:hAnsi="Times New Roman"/>
                <w:b/>
                <w:sz w:val="20"/>
              </w:rPr>
              <w:t>Verbleibend KSt</w:t>
            </w:r>
          </w:p>
        </w:tc>
        <w:tc>
          <w:tcPr>
            <w:tcW w:type="dxa" w:w="1512"/>
          </w:tcPr>
          <w:p>
            <w:r>
              <w:rPr>
                <w:rFonts w:ascii="Times New Roman" w:hAnsi="Times New Roman"/>
                <w:b/>
                <w:sz w:val="20"/>
              </w:rPr>
              <w:t>Verlustvortrag GewSt</w:t>
            </w:r>
          </w:p>
        </w:tc>
        <w:tc>
          <w:tcPr>
            <w:tcW w:type="dxa" w:w="1512"/>
          </w:tcPr>
          <w:p>
            <w:r>
              <w:rPr>
                <w:rFonts w:ascii="Times New Roman" w:hAnsi="Times New Roman"/>
                <w:b/>
                <w:sz w:val="20"/>
              </w:rPr>
              <w:t>Verbleibend GewSt</w:t>
            </w:r>
          </w:p>
        </w:tc>
      </w:tr>
      <w:tr>
        <w:tc>
          <w:tcPr>
            <w:tcW w:type="dxa" w:w="1512"/>
          </w:tcPr>
          <w:p>
            <w:r>
              <w:rPr>
                <w:rFonts w:ascii="Times New Roman" w:hAnsi="Times New Roman"/>
                <w:sz w:val="20"/>
              </w:rPr>
              <w:t>A (Plan-Basis)</w:t>
            </w:r>
          </w:p>
        </w:tc>
        <w:tc>
          <w:tcPr>
            <w:tcW w:type="dxa" w:w="1512"/>
          </w:tcPr>
          <w:p>
            <w:r>
              <w:rPr>
                <w:rFonts w:ascii="Times New Roman" w:hAnsi="Times New Roman"/>
                <w:sz w:val="20"/>
              </w:rPr>
              <w:t>38.000.000</w:t>
            </w:r>
          </w:p>
        </w:tc>
        <w:tc>
          <w:tcPr>
            <w:tcW w:type="dxa" w:w="1512"/>
          </w:tcPr>
          <w:p>
            <w:r>
              <w:rPr>
                <w:rFonts w:ascii="Times New Roman" w:hAnsi="Times New Roman"/>
                <w:sz w:val="20"/>
              </w:rPr>
              <w:t>-12.000.000</w:t>
            </w:r>
          </w:p>
        </w:tc>
        <w:tc>
          <w:tcPr>
            <w:tcW w:type="dxa" w:w="1512"/>
          </w:tcPr>
          <w:p>
            <w:r>
              <w:rPr>
                <w:rFonts w:ascii="Times New Roman" w:hAnsi="Times New Roman"/>
                <w:sz w:val="20"/>
              </w:rPr>
              <w:t>26.000.000</w:t>
            </w:r>
          </w:p>
        </w:tc>
        <w:tc>
          <w:tcPr>
            <w:tcW w:type="dxa" w:w="1512"/>
          </w:tcPr>
          <w:p>
            <w:r>
              <w:rPr>
                <w:rFonts w:ascii="Times New Roman" w:hAnsi="Times New Roman"/>
                <w:sz w:val="20"/>
              </w:rPr>
              <w:t>-14.000.000</w:t>
            </w:r>
          </w:p>
        </w:tc>
        <w:tc>
          <w:tcPr>
            <w:tcW w:type="dxa" w:w="1512"/>
          </w:tcPr>
          <w:p>
            <w:r>
              <w:rPr>
                <w:rFonts w:ascii="Times New Roman" w:hAnsi="Times New Roman"/>
                <w:sz w:val="20"/>
              </w:rPr>
              <w:t>24.000.000</w:t>
            </w:r>
          </w:p>
        </w:tc>
      </w:tr>
      <w:tr>
        <w:tc>
          <w:tcPr>
            <w:tcW w:type="dxa" w:w="1512"/>
          </w:tcPr>
          <w:p>
            <w:r>
              <w:rPr>
                <w:rFonts w:ascii="Times New Roman" w:hAnsi="Times New Roman"/>
                <w:sz w:val="20"/>
              </w:rPr>
              <w:t>B (mit Einlage-Korrektur 4 Mio EUR)</w:t>
            </w:r>
          </w:p>
        </w:tc>
        <w:tc>
          <w:tcPr>
            <w:tcW w:type="dxa" w:w="1512"/>
          </w:tcPr>
          <w:p>
            <w:r>
              <w:rPr>
                <w:rFonts w:ascii="Times New Roman" w:hAnsi="Times New Roman"/>
                <w:sz w:val="20"/>
              </w:rPr>
              <w:t>34.000.000</w:t>
            </w:r>
          </w:p>
        </w:tc>
        <w:tc>
          <w:tcPr>
            <w:tcW w:type="dxa" w:w="1512"/>
          </w:tcPr>
          <w:p>
            <w:r>
              <w:rPr>
                <w:rFonts w:ascii="Times New Roman" w:hAnsi="Times New Roman"/>
                <w:sz w:val="20"/>
              </w:rPr>
              <w:t>-12.000.000</w:t>
            </w:r>
          </w:p>
        </w:tc>
        <w:tc>
          <w:tcPr>
            <w:tcW w:type="dxa" w:w="1512"/>
          </w:tcPr>
          <w:p>
            <w:r>
              <w:rPr>
                <w:rFonts w:ascii="Times New Roman" w:hAnsi="Times New Roman"/>
                <w:sz w:val="20"/>
              </w:rPr>
              <w:t>22.000.000</w:t>
            </w:r>
          </w:p>
        </w:tc>
        <w:tc>
          <w:tcPr>
            <w:tcW w:type="dxa" w:w="1512"/>
          </w:tcPr>
          <w:p>
            <w:r>
              <w:rPr>
                <w:rFonts w:ascii="Times New Roman" w:hAnsi="Times New Roman"/>
                <w:sz w:val="20"/>
              </w:rPr>
              <w:t>-14.000.000</w:t>
            </w:r>
          </w:p>
        </w:tc>
        <w:tc>
          <w:tcPr>
            <w:tcW w:type="dxa" w:w="1512"/>
          </w:tcPr>
          <w:p>
            <w:r>
              <w:rPr>
                <w:rFonts w:ascii="Times New Roman" w:hAnsi="Times New Roman"/>
                <w:sz w:val="20"/>
              </w:rPr>
              <w:t>20.000.000</w:t>
            </w:r>
          </w:p>
        </w:tc>
      </w:tr>
    </w:tbl>
    <w:p>
      <w:pPr>
        <w:jc w:val="left"/>
      </w:pPr>
      <w:r>
        <w:t>In jedem Fall ist die Steuerfreistellung nach § 3a EStG / § 7b GewStG vorteilhaft für die Schuldnerin.</w:t>
      </w:r>
    </w:p>
    <w:p>
      <w:pPr>
        <w:jc w:val="left"/>
      </w:pPr>
      <w:r>
        <w:t>Bitte um Ihre umgehende Bestätigung der Einreichung morgen früh. Andernfalls werde ich den Antrag selbst (als Sanierungsverantwortlicher der Sozietät) bei der FA Erfurt einreichen — die Mandantin steht über dem Verfahren.</w:t>
      </w:r>
    </w:p>
    <w:p>
      <w:pPr>
        <w:jc w:val="left"/>
      </w:pPr>
      <w:r>
        <w:t>Mit freundlichen Gruessen</w:t>
      </w:r>
    </w:p>
    <w:p>
      <w:pPr>
        <w:jc w:val="left"/>
      </w:pPr>
      <w:r>
        <w:t>Dr. Maximilian Drosselberg</w:t>
      </w:r>
    </w:p>
    <w:p>
      <w:pPr>
        <w:pStyle w:val="Heading2"/>
      </w:pPr>
      <w:r>
        <w:rPr>
          <w:rFonts w:ascii="Times New Roman" w:hAnsi="Times New Roman"/>
        </w:rPr>
        <w:t>C. Eingangsbestätigung und Realität</w:t>
      </w:r>
    </w:p>
    <w:p>
      <w:pPr>
        <w:jc w:val="left"/>
      </w:pPr>
      <w:r>
        <w:t xml:space="preserve">Trotz Drosselbergs deutlicher Aufforderung hat StB Engelmeier den Antrag nicht am 25.05.2026 eingereicht, sondern erst am </w:t>
      </w:r>
      <w:r>
        <w:rPr>
          <w:b/>
        </w:rPr>
        <w:t>02.07.2026, 11:28 Uhr</w:t>
      </w:r>
      <w:r>
        <w:t xml:space="preserve"> — also </w:t>
      </w:r>
      <w:r>
        <w:rPr>
          <w:b/>
        </w:rPr>
        <w:t>eine Woche nach Plan-Bestätigung (25.06.2026)</w:t>
      </w:r>
      <w:r>
        <w:t>. ELSTER-Quittungsnummer: 2026/0702/11:28:43/E1822.</w:t>
      </w:r>
    </w:p>
    <w:p>
      <w:pPr>
        <w:jc w:val="left"/>
      </w:pPr>
      <w:r>
        <w:t>Damit liegt der vom Mandat befürchtete Fall vor: Antrag § 3a IV EStG erst nach Plan-Bestätigung gestellt. Es ist nun zu prüfen, ob die Linie des FG Koeln 12 K 1413/25 die Steuerbefreiung versagt (siehe Aktenstück 12 und 19).</w:t>
      </w:r>
    </w:p>
    <w:p>
      <w:pPr>
        <w:pStyle w:val="Heading2"/>
      </w:pPr>
      <w:r>
        <w:rPr>
          <w:rFonts w:ascii="Times New Roman" w:hAnsi="Times New Roman"/>
        </w:rPr>
        <w:t>D. Folge-Mail RA Drosselberg an StB Engelmeier vom 03.07.2026</w:t>
      </w:r>
    </w:p>
    <w:p>
      <w:pPr>
        <w:jc w:val="left"/>
      </w:pPr>
      <w:r>
        <w:rPr>
          <w:b/>
        </w:rPr>
        <w:t>Von:</w:t>
      </w:r>
      <w:r>
        <w:t xml:space="preserve"> drosselberg@drosselberg-partner.de</w:t>
      </w:r>
    </w:p>
    <w:p>
      <w:pPr>
        <w:jc w:val="left"/>
      </w:pPr>
      <w:r>
        <w:rPr>
          <w:b/>
        </w:rPr>
        <w:t>An:</w:t>
      </w:r>
      <w:r>
        <w:t xml:space="preserve"> thorsten.engelmeier@engelmeier-stb.de</w:t>
      </w:r>
    </w:p>
    <w:p>
      <w:pPr>
        <w:jc w:val="left"/>
      </w:pPr>
      <w:r>
        <w:rPr>
          <w:b/>
        </w:rPr>
        <w:t>Cc:</w:t>
      </w:r>
      <w:r>
        <w:t xml:space="preserve"> Bertha.Grossbach@grossbach-druckguss.de; Friedhelm.Grossbach@grossbach-druckguss.de; pabst@drosselberg-partner.de; voltz@drosselberg-partner.de</w:t>
      </w:r>
    </w:p>
    <w:p>
      <w:pPr>
        <w:jc w:val="left"/>
      </w:pPr>
      <w:r>
        <w:rPr>
          <w:b/>
        </w:rPr>
        <w:t>Betreff:</w:t>
      </w:r>
      <w:r>
        <w:t xml:space="preserve"> Dringend — Antrag § 3a IV EStG erst am 02.07.2026 eingereicht</w:t>
      </w:r>
    </w:p>
    <w:p>
      <w:pPr>
        <w:jc w:val="left"/>
      </w:pPr>
      <w:r>
        <w:t>Sehr geehrter Herr Engelmeier,</w:t>
      </w:r>
    </w:p>
    <w:p>
      <w:pPr>
        <w:jc w:val="left"/>
      </w:pPr>
      <w:r>
        <w:t xml:space="preserve">aus der ELSTER-Quittung ergibt sich, dass Sie den Antrag § 3a IV EStG am 02.07.2026 — also nach Plan-Bestätigung am 25.06.2026 — eingereicht haben. Dies entspricht </w:t>
      </w:r>
      <w:r>
        <w:rPr>
          <w:b/>
        </w:rPr>
        <w:t>nicht</w:t>
      </w:r>
      <w:r>
        <w:t xml:space="preserve"> unserer abgestimmten Linie.</w:t>
      </w:r>
    </w:p>
    <w:p>
      <w:pPr>
        <w:jc w:val="left"/>
      </w:pPr>
      <w:r>
        <w:t>Hierdurch entstehen folgende Risiken:</w:t>
      </w:r>
    </w:p>
    <w:p>
      <w:pPr>
        <w:pStyle w:val="ListNumber"/>
      </w:pPr>
      <w:r>
        <w:rPr>
          <w:b/>
        </w:rPr>
        <w:t>Praeklusion (FG Koeln 12 K 1413/25):</w:t>
      </w:r>
      <w:r>
        <w:t xml:space="preserve"> Das FA Erfurt kann sich auf die Linie berufen, dass eine Sanierungsabsicht-Dokumentation, die zeitlich nach Plan-Bestätigung erstellt wurde, materiell nicht ausreichend ist. Die Steuerbefreiung kann versagt werden.</w:t>
      </w:r>
    </w:p>
    <w:p>
      <w:pPr>
        <w:pStyle w:val="ListNumber"/>
      </w:pPr>
      <w:r>
        <w:rPr>
          <w:b/>
        </w:rPr>
        <w:t>Wirtschaftliche Folge:</w:t>
      </w:r>
      <w:r>
        <w:t xml:space="preserve"> Bei Versagung der Steuerbefreiung entsteht eine KSt-Last von ca. 4,1 Mio EUR und eine GewSt-Last von ca. 3,95 Mio EUR — zusammen ca. 8,1 Mio EUR. Das übersteigt die Plan-Liquidität und gefährdet die Sanierung.</w:t>
      </w:r>
    </w:p>
    <w:p>
      <w:pPr>
        <w:pStyle w:val="ListNumber"/>
      </w:pPr>
      <w:r>
        <w:rPr>
          <w:b/>
        </w:rPr>
        <w:t>Haftung StB nach § 280 BGB:</w:t>
      </w:r>
      <w:r>
        <w:t xml:space="preserve"> Bei Versagung droht der Schuldnerin ein Schaden in genannter Höhe. Ihre Steuerberaterhaftpflicht ist betroffen. Bitte informieren Sie umgehend Ihre Versicherung (z. B. Allianz / R+V).</w:t>
      </w:r>
    </w:p>
    <w:p>
      <w:pPr>
        <w:pStyle w:val="ListNumber"/>
      </w:pPr>
      <w:r>
        <w:rPr>
          <w:b/>
        </w:rPr>
        <w:t>Haftung IV nach § 60 InsO:</w:t>
      </w:r>
      <w:r>
        <w:t xml:space="preserve"> Da die IV Sozietät Drosselberg &amp; Partner Sie steuerlich beigeordnet hat, könnte sich auch eine IV-Haftung ergeben. Wir prüfen das gesondert (siehe Aktenstück 13).</w:t>
      </w:r>
    </w:p>
    <w:p>
      <w:pPr>
        <w:pStyle w:val="ListNumber"/>
      </w:pPr>
      <w:r>
        <w:rPr>
          <w:b/>
        </w:rPr>
        <w:t>Strafrechtliche Risiken:</w:t>
      </w:r>
      <w:r>
        <w:t xml:space="preserve"> Im Extremfall ist auch eine Pruefung nach § 370 AO (Steuerhinterziehung) denkbar, falls eine Verkürzung der Steuern durch unvollständige Angaben unterstellt wird. Diese Linie halten wir derzeit für fernliegend, weisen aber darauf hin (Aktenstück 16).</w:t>
      </w:r>
    </w:p>
    <w:p>
      <w:pPr>
        <w:jc w:val="left"/>
      </w:pPr>
      <w:r>
        <w:t>Bitte um Stellungnahme bis Freitag, 11.07.2026.</w:t>
      </w:r>
    </w:p>
    <w:p>
      <w:pPr>
        <w:jc w:val="left"/>
      </w:pPr>
      <w:r>
        <w:t>Mit freundlichen Gruessen</w:t>
      </w:r>
    </w:p>
    <w:p>
      <w:pPr>
        <w:jc w:val="left"/>
      </w:pPr>
      <w:r>
        <w:t>Dr. Maximilian Drosselberg</w:t>
      </w:r>
    </w:p>
    <w:p>
      <w:pPr>
        <w:pStyle w:val="Heading2"/>
      </w:pPr>
      <w:r>
        <w:rPr>
          <w:rFonts w:ascii="Times New Roman" w:hAnsi="Times New Roman"/>
        </w:rPr>
        <w:t>E. Stellungnahme StB Engelmeier vom 09.07.2026</w:t>
      </w:r>
    </w:p>
    <w:p>
      <w:pPr>
        <w:jc w:val="left"/>
      </w:pPr>
      <w:r>
        <w:rPr>
          <w:b/>
        </w:rPr>
        <w:t>Von:</w:t>
      </w:r>
      <w:r>
        <w:t xml:space="preserve"> thorsten.engelmeier@engelmeier-stb.de</w:t>
      </w:r>
    </w:p>
    <w:p>
      <w:pPr>
        <w:jc w:val="left"/>
      </w:pPr>
      <w:r>
        <w:rPr>
          <w:b/>
        </w:rPr>
        <w:t>An:</w:t>
      </w:r>
      <w:r>
        <w:t xml:space="preserve"> drosselberg@drosselberg-partner.de</w:t>
      </w:r>
    </w:p>
    <w:p>
      <w:pPr>
        <w:jc w:val="left"/>
      </w:pPr>
      <w:r>
        <w:t>Sehr geehrter Herr Dr. Drosselberg,</w:t>
      </w:r>
    </w:p>
    <w:p>
      <w:pPr>
        <w:jc w:val="left"/>
      </w:pPr>
      <w:r>
        <w:t>ich räume ein, dass die Antragsstellung am 02.07.2026 erfolgte. Hintergrund war die ergänzende Stellungnahme zur Einlage-Korrektur (Frage 5 verbindliche Auskunft), die ich vom 24.05. bis 30.06. ausgearbeitet habe. Aufgrund eines Familienfalls (Beerdigung meiner Schwiegermutter am 17.-19.06.) war ich in dieser Phase nur eingeschränkt verfügbar.</w:t>
      </w:r>
    </w:p>
    <w:p>
      <w:pPr>
        <w:jc w:val="left"/>
      </w:pPr>
      <w:r>
        <w:t>Ich werde meine Versicherung (Allianz, Vertragsnr. SB-1822-2024-EM) heute kontaktieren. Im übrigen vertrete ich die Position, dass die Linie des FG Koeln 12 K 1413/25 nicht starr gilt: Der Antrag ist bis zur Bestandskraft des KSt-Bescheids 2026 stellbar (vgl. Wortlaut § 3a Abs. 4 EStG). Die Sanierungsabsicht-Dokumentation der Gläubiger ist materiell unverändert; das Gläubigerausschuss-Protokoll vom 25.02.2026 bleibt gültig.</w:t>
      </w:r>
    </w:p>
    <w:p>
      <w:pPr>
        <w:jc w:val="left"/>
      </w:pPr>
      <w:r>
        <w:t>Mit kollegialen Gruessen</w:t>
      </w:r>
    </w:p>
    <w:p>
      <w:pPr>
        <w:jc w:val="left"/>
      </w:pPr>
      <w:r>
        <w:t>Dr. Thorsten Engelmeier</w:t>
      </w:r>
    </w:p>
    <w:p>
      <w:pPr>
        <w:pStyle w:val="Heading2"/>
      </w:pPr>
      <w:r>
        <w:rPr>
          <w:rFonts w:ascii="Times New Roman" w:hAnsi="Times New Roman"/>
        </w:rPr>
        <w:t>F. Beurteilung Sozietät Drosselberg (intern, Akte)</w:t>
      </w:r>
    </w:p>
    <w:p>
      <w:pPr>
        <w:jc w:val="left"/>
      </w:pPr>
      <w:r>
        <w:t>Die Stellungnahme StB Engelmeier ist sachlich teilweise zutreffend, aber das praktische Risiko bleibt. Eine erste Verteidigungslinie gegen das FA Erfurt wäre:</w:t>
      </w:r>
    </w:p>
    <w:p>
      <w:pPr>
        <w:pStyle w:val="ListNumber"/>
      </w:pPr>
      <w:r>
        <w:t>Der Wortlaut § 3a Abs. 4 EStG verlangt keine Antragsstellung vor Plan-Bestätigung.</w:t>
      </w:r>
    </w:p>
    <w:p>
      <w:pPr>
        <w:pStyle w:val="ListNumber"/>
      </w:pPr>
      <w:r>
        <w:t xml:space="preserve">Die Sanierungsabsicht der Gläubiger ist durch das Gläubigerausschuss-Protokoll v. 25.02.2026 dokumentiert, somit zeitlich </w:t>
      </w:r>
      <w:r>
        <w:rPr>
          <w:b/>
        </w:rPr>
        <w:t>vor</w:t>
      </w:r>
      <w:r>
        <w:t xml:space="preserve"> Plan-Bestätigung erfolgt.</w:t>
      </w:r>
    </w:p>
    <w:p>
      <w:pPr>
        <w:pStyle w:val="ListNumber"/>
      </w:pPr>
      <w:r>
        <w:t>Die Linie FG Koeln 12 K 1413/25 ist nicht höchstrichterlich bestätigt; Revision wurde zugelassen (Az BFH X R 8/26 erwartet).</w:t>
      </w:r>
    </w:p>
    <w:p>
      <w:pPr>
        <w:jc w:val="left"/>
      </w:pPr>
      <w:r>
        <w:t>Risiko bleibt aber, dass das FA der FG-Koeln-Linie folgt. Vorbereitung Klageverfahren gegen ggf. ablehnenden KSt-Bescheid 2026 ist zu empfehlen.</w:t>
      </w:r>
    </w:p>
    <w:p>
      <w:pPr>
        <w:jc w:val="left"/>
      </w:pPr>
      <w:r>
        <w:t>— Notiz Drosselberg, 10.07.2026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