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IV-Haftung § 60 InsO und StB-Haftung (§ 280 BGB) — Risikomemo</w:t>
      </w:r>
    </w:p>
    <w:p>
      <w:pPr>
        <w:jc w:val="left"/>
      </w:pPr>
      <w:r>
        <w:rPr>
          <w:b/>
        </w:rPr>
        <w:t>Verfasser:</w:t>
      </w:r>
      <w:r>
        <w:t xml:space="preserve"> Sozietät Drosselberg &amp; Partner, intern</w:t>
      </w:r>
    </w:p>
    <w:p>
      <w:pPr>
        <w:jc w:val="left"/>
      </w:pPr>
      <w:r>
        <w:rPr>
          <w:b/>
        </w:rPr>
        <w:t>Datum:</w:t>
      </w:r>
      <w:r>
        <w:t xml:space="preserve"> 14.07.2026</w:t>
      </w:r>
    </w:p>
    <w:p>
      <w:pPr>
        <w:pStyle w:val="Heading2"/>
      </w:pPr>
      <w:r>
        <w:rPr>
          <w:rFonts w:ascii="Times New Roman" w:hAnsi="Times New Roman"/>
        </w:rPr>
        <w:t>I. Sachstand</w:t>
      </w:r>
    </w:p>
    <w:p>
      <w:pPr>
        <w:pStyle w:val="ListBullet"/>
      </w:pPr>
      <w:r>
        <w:t>Insolvenzplan AG Erfurt 60 IN 188/26 rechtskräftig bestätigt 25.06.2026.</w:t>
      </w:r>
    </w:p>
    <w:p>
      <w:pPr>
        <w:pStyle w:val="ListBullet"/>
      </w:pPr>
      <w:r>
        <w:t>§ 3a IV EStG-Antrag durch StB Engelmeier erst am 02.07.2026 eingereicht, sieben Tage nach Plan-Bestätigung.</w:t>
      </w:r>
    </w:p>
    <w:p>
      <w:pPr>
        <w:pStyle w:val="ListBullet"/>
      </w:pPr>
      <w:r>
        <w:t>KSt-Bescheid 2026 erwartet März 2027 nach Steuererklaerungs-Abgabe 31.10.2026 (verlängert).</w:t>
      </w:r>
    </w:p>
    <w:p>
      <w:pPr>
        <w:pStyle w:val="ListBullet"/>
      </w:pPr>
      <w:r>
        <w:t>Risiko Versagung der Steuerbefreiung: KSt 3,9 Mio EUR + Soli 0,2 Mio EUR + GewSt 3,95 Mio EUR = ca. 8 Mio EUR.</w:t>
      </w:r>
    </w:p>
    <w:p>
      <w:pPr>
        <w:pStyle w:val="ListBullet"/>
      </w:pPr>
      <w:r>
        <w:t>Plan-Liquidität vorgesehen ohne diese Steuerlast — bei Versagung wäre Plan-Insolvenz akut.</w:t>
      </w:r>
    </w:p>
    <w:p>
      <w:pPr>
        <w:pStyle w:val="Heading2"/>
      </w:pPr>
      <w:r>
        <w:rPr>
          <w:rFonts w:ascii="Times New Roman" w:hAnsi="Times New Roman"/>
        </w:rPr>
        <w:t>II. IV-Haftung nach § 60 InsO</w:t>
      </w:r>
    </w:p>
    <w:p>
      <w:pPr>
        <w:pStyle w:val="Heading3"/>
      </w:pPr>
      <w:r>
        <w:rPr>
          <w:rFonts w:ascii="Times New Roman" w:hAnsi="Times New Roman"/>
        </w:rPr>
        <w:t>1. Anspruchsgrundlage</w:t>
      </w:r>
    </w:p>
    <w:p>
      <w:pPr>
        <w:jc w:val="left"/>
      </w:pPr>
      <w:r>
        <w:t>§ 60 InsO: Der Insolvenzverwalter haftet allen Beteiligten für schuldhafte Pflichtverletzungen.</w:t>
      </w:r>
    </w:p>
    <w:p>
      <w:pPr>
        <w:pStyle w:val="Heading3"/>
      </w:pPr>
      <w:r>
        <w:rPr>
          <w:rFonts w:ascii="Times New Roman" w:hAnsi="Times New Roman"/>
        </w:rPr>
        <w:t>2. Pruefung</w:t>
      </w:r>
    </w:p>
    <w:p>
      <w:pPr>
        <w:jc w:val="left"/>
      </w:pPr>
      <w:r>
        <w:rPr>
          <w:b/>
        </w:rPr>
        <w:t>Pflicht des IV:</w:t>
      </w:r>
      <w:r>
        <w:t xml:space="preserve"> Bei Eigenverwaltung ist die Pflicht des Sachwalters (§ 274 InsO) und ggf. des bestellten IV bei der Plan-Begleitung erfasst, soweit dieser für die Plan-Vorbereitung zuständig ist. Im Streitfall: Sozietät Drosselberg &amp; Partner mit RA Rainer Pabst als IV-i.S.v. § 270d InsO. Pflicht zur Sicherstellung der Steuerlast-Vermeidung im Plan ist als allgemeine Sorgfaltspflicht (§ 60 Abs. 1 Satz 1 InsO) erfasst.</w:t>
      </w:r>
    </w:p>
    <w:p>
      <w:pPr>
        <w:jc w:val="left"/>
      </w:pPr>
      <w:r>
        <w:rPr>
          <w:b/>
        </w:rPr>
        <w:t>Pflichtverletzung?</w:t>
      </w:r>
      <w:r>
        <w:t xml:space="preserve"> Die Sozietät Drosselberg &amp; Partner hat StB Engelmeier mehrfach (24.05.2026, 03.07.2026) auf die Notwendigkeit des fristgerechten Antrags hingewiesen. Die Pflicht des IV/Sachwalters ist mit dieser Aufforderung erfüllt. </w:t>
      </w:r>
      <w:r>
        <w:rPr>
          <w:b/>
        </w:rPr>
        <w:t>Keine Pflichtverletzung der IV/Sachwalter-Seite</w:t>
      </w:r>
      <w:r>
        <w:t xml:space="preserve"> erkennbar.</w:t>
      </w:r>
    </w:p>
    <w:p>
      <w:pPr>
        <w:jc w:val="left"/>
      </w:pPr>
      <w:r>
        <w:rPr>
          <w:b/>
        </w:rPr>
        <w:t>Aber:</w:t>
      </w:r>
      <w:r>
        <w:t xml:space="preserve"> Wenn die Sozietät Drosselberg &amp; Partner als IV den Antrag aus eigenem Antrieb hätte einreichen können (notwendiges Verhalten wäre zumutbar gewesen), könnte ein subsidiaeres Verschulden in Betracht kommen. Hier verteidigt sich die Sozietät damit, dass StB Engelmeier als beauftragter Steuerberater Primary war und der Antrag eines Anwalts oder IV ohne Steuerberatungsmandat zweifelhaft gewesen wäre.</w:t>
      </w:r>
    </w:p>
    <w:p>
      <w:pPr>
        <w:pStyle w:val="Heading3"/>
      </w:pPr>
      <w:r>
        <w:rPr>
          <w:rFonts w:ascii="Times New Roman" w:hAnsi="Times New Roman"/>
        </w:rPr>
        <w:t>3. Bewertung</w:t>
      </w:r>
    </w:p>
    <w:p>
      <w:pPr>
        <w:jc w:val="left"/>
      </w:pPr>
      <w:r>
        <w:t xml:space="preserve">Die IV-Haftung nach § 60 InsO ist </w:t>
      </w:r>
      <w:r>
        <w:rPr>
          <w:b/>
        </w:rPr>
        <w:t>gering</w:t>
      </w:r>
      <w:r>
        <w:t xml:space="preserve"> wahrscheinlich. Empfohlene Schutzmassnahme: Dokumentation der Aufforderungen an StB Engelmeier in der IV-Akte. Mail-Wechsel vom 24.05.2026 und 03.07.2026 (Aktenstück 11) ist hierfür zentral.</w:t>
      </w:r>
    </w:p>
    <w:p>
      <w:pPr>
        <w:pStyle w:val="Heading2"/>
      </w:pPr>
      <w:r>
        <w:rPr>
          <w:rFonts w:ascii="Times New Roman" w:hAnsi="Times New Roman"/>
        </w:rPr>
        <w:t>III. StB-Haftung nach § 280 BGB i.V.m. Mandatsvertrag</w:t>
      </w:r>
    </w:p>
    <w:p>
      <w:pPr>
        <w:pStyle w:val="Heading3"/>
      </w:pPr>
      <w:r>
        <w:rPr>
          <w:rFonts w:ascii="Times New Roman" w:hAnsi="Times New Roman"/>
        </w:rPr>
        <w:t>1. Anspruchsgrundlage</w:t>
      </w:r>
    </w:p>
    <w:p>
      <w:pPr>
        <w:jc w:val="left"/>
      </w:pPr>
      <w:r>
        <w:t>§ 280 Abs. 1 BGB i.V.m. § 67 StBerG; Mandatsvertrag zwischen Grossbach Druckguss &amp; Präzision GmbH &amp; Co. KG (Mandantin) und Engelmeier &amp; Partner (StB).</w:t>
      </w:r>
    </w:p>
    <w:p>
      <w:pPr>
        <w:pStyle w:val="Heading3"/>
      </w:pPr>
      <w:r>
        <w:rPr>
          <w:rFonts w:ascii="Times New Roman" w:hAnsi="Times New Roman"/>
        </w:rPr>
        <w:t>2. Pruefung</w:t>
      </w:r>
    </w:p>
    <w:p>
      <w:pPr>
        <w:jc w:val="left"/>
      </w:pPr>
      <w:r>
        <w:rPr>
          <w:b/>
        </w:rPr>
        <w:t>Pflicht des StB:</w:t>
      </w:r>
      <w:r>
        <w:t xml:space="preserve"> Steuerberater hat aufgrund Mandatsvertrag die Pflicht, die steuerlichen Folgen der Sanierung zu prüfen und die Mandantin entsprechend zu beraten. Hierzu gehört insbesondere die rechtzeitige Antragstellung nach § 3a Abs. 4 EStG und § 7b GewStG.</w:t>
      </w:r>
    </w:p>
    <w:p>
      <w:pPr>
        <w:jc w:val="left"/>
      </w:pPr>
      <w:r>
        <w:rPr>
          <w:b/>
        </w:rPr>
        <w:t>Pflichtverletzung:</w:t>
      </w:r>
      <w:r>
        <w:t xml:space="preserve"> StB Engelmeier hat den Antrag § 3a IV EStG erst am 02.07.2026 eingereicht, obwohl ihm:</w:t>
      </w:r>
    </w:p>
    <w:p>
      <w:pPr>
        <w:pStyle w:val="ListBullet"/>
      </w:pPr>
      <w:r>
        <w:t>die Mail vom 24.05.2026 (Drosselberg) eine konkrete Aufforderung zum Einreichen bis 25.05.2026 enthielt,</w:t>
      </w:r>
    </w:p>
    <w:p>
      <w:pPr>
        <w:pStyle w:val="ListBullet"/>
      </w:pPr>
      <w:r>
        <w:t>die Verbindliche Auskunft des FA Erfurt vom 11.05.2026 die FG-Koeln-Linie ausdrücklich erwähnte und Rechtzeitigkeit anmahnte,</w:t>
      </w:r>
    </w:p>
    <w:p>
      <w:pPr>
        <w:pStyle w:val="ListBullet"/>
      </w:pPr>
      <w:r>
        <w:t>die Plan-Bestätigung am 25.06.2026 ein klarer Zeitpunkt war.</w:t>
      </w:r>
    </w:p>
    <w:p>
      <w:pPr>
        <w:jc w:val="left"/>
      </w:pPr>
      <w:r>
        <w:t>Eine Verzögerung von 38 Tagen (24.05. bis 02.07.) bei klarer Aufforderung ist objektiv pflichtwidrig. Der Hinweis auf Beerdigung der Schwiegermutter (17.-19.06.) erklärt nur 3 Tage. Die übrigen 35 Tage sind ohne Rechtfertigung.</w:t>
      </w:r>
    </w:p>
    <w:p>
      <w:pPr>
        <w:jc w:val="left"/>
      </w:pPr>
      <w:r>
        <w:rPr>
          <w:b/>
        </w:rPr>
        <w:t>Verschulden:</w:t>
      </w:r>
      <w:r>
        <w:t xml:space="preserve"> Mindestens fahrlässig (§ 276 BGB). Bei Wiederholung im Vergleich zum früheren Fall Heisterkamp Holzbau (2023) ggf. grob fahrlässig.</w:t>
      </w:r>
    </w:p>
    <w:p>
      <w:pPr>
        <w:jc w:val="left"/>
      </w:pPr>
      <w:r>
        <w:rPr>
          <w:b/>
        </w:rPr>
        <w:t>Schaden:</w:t>
      </w:r>
    </w:p>
    <w:p>
      <w:pPr>
        <w:jc w:val="left"/>
      </w:pPr>
      <w:r>
        <w:t>Der Schaden wäre die Differenz zwischen: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Steuerlast mit § 3a EStG-Befreiung (KSt, GewSt, Soli)</w:t>
            </w:r>
          </w:p>
        </w:tc>
        <w:tc>
          <w:tcPr>
            <w:tcW w:type="dxa" w:w="4536"/>
          </w:tcPr>
          <w:p>
            <w:r>
              <w:rPr>
                <w:rFonts w:ascii="Times New Roman" w:hAnsi="Times New Roman"/>
                <w:sz w:val="20"/>
              </w:rPr>
              <w:t>0</w:t>
            </w:r>
          </w:p>
        </w:tc>
      </w:tr>
      <w:tr>
        <w:tc>
          <w:tcPr>
            <w:tcW w:type="dxa" w:w="4536"/>
          </w:tcPr>
          <w:p>
            <w:r>
              <w:rPr>
                <w:rFonts w:ascii="Times New Roman" w:hAnsi="Times New Roman"/>
                <w:sz w:val="20"/>
              </w:rPr>
              <w:t>Steuerlast ohne § 3a EStG-Befreiung (Variante A 38 Mio)</w:t>
            </w:r>
          </w:p>
        </w:tc>
        <w:tc>
          <w:tcPr>
            <w:tcW w:type="dxa" w:w="4536"/>
          </w:tcPr>
          <w:p>
            <w:r>
              <w:rPr>
                <w:rFonts w:ascii="Times New Roman" w:hAnsi="Times New Roman"/>
                <w:sz w:val="20"/>
              </w:rPr>
              <w:t>8.062.500</w:t>
            </w:r>
          </w:p>
        </w:tc>
      </w:tr>
      <w:tr>
        <w:tc>
          <w:tcPr>
            <w:tcW w:type="dxa" w:w="4536"/>
          </w:tcPr>
          <w:p>
            <w:r>
              <w:rPr>
                <w:rFonts w:ascii="Times New Roman" w:hAnsi="Times New Roman"/>
                <w:b/>
                <w:sz w:val="20"/>
              </w:rPr>
              <w:t>Maximaler Schaden</w:t>
            </w:r>
          </w:p>
        </w:tc>
        <w:tc>
          <w:tcPr>
            <w:tcW w:type="dxa" w:w="4536"/>
          </w:tcPr>
          <w:p>
            <w:r>
              <w:rPr>
                <w:rFonts w:ascii="Times New Roman" w:hAnsi="Times New Roman"/>
                <w:b/>
                <w:sz w:val="20"/>
              </w:rPr>
              <w:t>8.062.500</w:t>
            </w:r>
          </w:p>
        </w:tc>
      </w:tr>
    </w:tbl>
    <w:p>
      <w:pPr>
        <w:jc w:val="left"/>
      </w:pPr>
      <w:r>
        <w:t>Bei Variante B mit Einlage-Korrektur: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Wert (EUR)</w:t>
            </w:r>
          </w:p>
        </w:tc>
      </w:tr>
      <w:tr>
        <w:tc>
          <w:tcPr>
            <w:tcW w:type="dxa" w:w="4536"/>
          </w:tcPr>
          <w:p>
            <w:r>
              <w:rPr>
                <w:rFonts w:ascii="Times New Roman" w:hAnsi="Times New Roman"/>
                <w:sz w:val="20"/>
              </w:rPr>
              <w:t>Steuerlast ohne § 3a EStG (auf 34 Mio Sanierungsertrag)</w:t>
            </w:r>
          </w:p>
        </w:tc>
        <w:tc>
          <w:tcPr>
            <w:tcW w:type="dxa" w:w="4536"/>
          </w:tcPr>
          <w:p>
            <w:r>
              <w:rPr>
                <w:rFonts w:ascii="Times New Roman" w:hAnsi="Times New Roman"/>
                <w:sz w:val="20"/>
              </w:rPr>
              <w:t>6.792.700</w:t>
            </w:r>
          </w:p>
        </w:tc>
      </w:tr>
      <w:tr>
        <w:tc>
          <w:tcPr>
            <w:tcW w:type="dxa" w:w="4536"/>
          </w:tcPr>
          <w:p>
            <w:r>
              <w:rPr>
                <w:rFonts w:ascii="Times New Roman" w:hAnsi="Times New Roman"/>
                <w:sz w:val="20"/>
              </w:rPr>
              <w:t>Korrigierter Schaden</w:t>
            </w:r>
          </w:p>
        </w:tc>
        <w:tc>
          <w:tcPr>
            <w:tcW w:type="dxa" w:w="4536"/>
          </w:tcPr>
          <w:p>
            <w:r>
              <w:rPr>
                <w:rFonts w:ascii="Times New Roman" w:hAnsi="Times New Roman"/>
                <w:sz w:val="20"/>
              </w:rPr>
              <w:t>ca. 6.792.700</w:t>
            </w:r>
          </w:p>
        </w:tc>
      </w:tr>
    </w:tbl>
    <w:p>
      <w:pPr>
        <w:jc w:val="left"/>
      </w:pPr>
      <w:r>
        <w:rPr>
          <w:b/>
        </w:rPr>
        <w:t>Kausalität:</w:t>
      </w:r>
      <w:r>
        <w:t xml:space="preserve"> Der Schaden tritt ein, </w:t>
      </w:r>
      <w:r>
        <w:rPr>
          <w:b/>
        </w:rPr>
        <w:t>falls</w:t>
      </w:r>
      <w:r>
        <w:t xml:space="preserve"> das FA Erfurt der FG-Koeln-Linie folgt. Wenn die Argumentation des Memos 12 (Unterscheidung 7 Tage vs. 14 Monate) erfolgreich ist, kein Schaden. Aber: das Schadensrisiko ist real und reicht bereits aus, um einen Schadensersatzanspruch dem Grunde nach zu begründen, sobald das FA Erfurt zumindest einen vorläufigen ablehnenden Bescheid erlässt.</w:t>
      </w:r>
    </w:p>
    <w:p>
      <w:pPr>
        <w:pStyle w:val="Heading3"/>
      </w:pPr>
      <w:r>
        <w:rPr>
          <w:rFonts w:ascii="Times New Roman" w:hAnsi="Times New Roman"/>
        </w:rPr>
        <w:t>3. Bewertung</w:t>
      </w:r>
    </w:p>
    <w:p>
      <w:pPr>
        <w:jc w:val="left"/>
      </w:pPr>
      <w:r>
        <w:rPr>
          <w:b/>
        </w:rPr>
        <w:t>Hohe Wahrscheinlichkeit eines StB-Haftungsanspruchs</w:t>
      </w:r>
      <w:r>
        <w:t>, falls das FA Erfurt die Steuerbefreiung versagt oder mindert. Empfohlen:</w:t>
      </w:r>
    </w:p>
    <w:p>
      <w:pPr>
        <w:pStyle w:val="ListNumber"/>
      </w:pPr>
      <w:r>
        <w:rPr>
          <w:b/>
        </w:rPr>
        <w:t>Anzeige der StB-Versicherung:</w:t>
      </w:r>
      <w:r>
        <w:t xml:space="preserve"> StB Engelmeier hat dies am 09.07.2026 zugesagt (Allianz Vertragsnr. SB-1822-2024-EM).</w:t>
      </w:r>
    </w:p>
    <w:p>
      <w:pPr>
        <w:pStyle w:val="ListNumber"/>
      </w:pPr>
      <w:r>
        <w:rPr>
          <w:b/>
        </w:rPr>
        <w:t>Reservierung Rückstellung:</w:t>
      </w:r>
      <w:r>
        <w:t xml:space="preserve"> In den Büchern der Grossbach Druckguss &amp; Präzision GmbH &amp; Co. KG bzw. der Komplementär-GmbH wird vorläufig eine Rückstellung in Höhe von 8 Mio EUR für den möglichen Schadensersatzanspruch gegen Engelmeier &amp; Partner gebildet (Aktiv-Posten).</w:t>
      </w:r>
    </w:p>
    <w:p>
      <w:pPr>
        <w:pStyle w:val="ListNumber"/>
      </w:pPr>
      <w:r>
        <w:rPr>
          <w:b/>
        </w:rPr>
        <w:t>Verzichtserklärung Mandantin nicht einholen:</w:t>
      </w:r>
      <w:r>
        <w:t xml:space="preserve"> Die Mandantin sollte keine Verzichtserklärung unterzeichnen, bis der KSt-Bescheid 2026 final feststeht.</w:t>
      </w:r>
    </w:p>
    <w:p>
      <w:pPr>
        <w:pStyle w:val="Heading2"/>
      </w:pPr>
      <w:r>
        <w:rPr>
          <w:rFonts w:ascii="Times New Roman" w:hAnsi="Times New Roman"/>
        </w:rPr>
        <w:t>IV. Strafrechtliche Risiken (Verweis Aktenstück 16)</w:t>
      </w:r>
    </w:p>
    <w:p>
      <w:pPr>
        <w:jc w:val="left"/>
      </w:pPr>
      <w:r>
        <w:t xml:space="preserve">Die Frage einer Steuerverkuerzung nach § 370 AO durch StB Engelmeier (verspäteter Antrag mit dem Effekt einer Steuerbelastung der Mandantin) ist </w:t>
      </w:r>
      <w:r>
        <w:rPr>
          <w:b/>
        </w:rPr>
        <w:t>fernliegend</w:t>
      </w:r>
      <w:r>
        <w:t>, weil:</w:t>
      </w:r>
    </w:p>
    <w:p>
      <w:pPr>
        <w:pStyle w:val="ListNumber"/>
      </w:pPr>
      <w:r>
        <w:t xml:space="preserve">Eine Steuerverkuerzung verlangt vorsätzliches oder leichtfertiges Verkürzen der Steuer </w:t>
      </w:r>
      <w:r>
        <w:rPr>
          <w:b/>
        </w:rPr>
        <w:t>des Steuerpflichtigen</w:t>
      </w:r>
      <w:r>
        <w:t>. StB Engelmeier ist nicht Steuerpflichtiger; er berät.</w:t>
      </w:r>
    </w:p>
    <w:p>
      <w:pPr>
        <w:pStyle w:val="ListNumber"/>
      </w:pPr>
      <w:r>
        <w:t>Der verspätete Antrag wirkt zugunsten der Finanzbehörden (mehr Steuer), nicht zu deren Lasten.</w:t>
      </w:r>
    </w:p>
    <w:p>
      <w:pPr>
        <w:pStyle w:val="ListNumber"/>
      </w:pPr>
      <w:r>
        <w:t>Ein Beihilfevorwurf nach § 27 StGB ist mangels Haupttat ausgeschlossen.</w:t>
      </w:r>
    </w:p>
    <w:p>
      <w:pPr>
        <w:jc w:val="left"/>
      </w:pPr>
      <w:r>
        <w:t>Detail im Aktenstück 16.</w:t>
      </w:r>
    </w:p>
    <w:p>
      <w:pPr>
        <w:pStyle w:val="Heading2"/>
      </w:pPr>
      <w:r>
        <w:rPr>
          <w:rFonts w:ascii="Times New Roman" w:hAnsi="Times New Roman"/>
        </w:rPr>
        <w:t>V. Empfehlung Sozietät Drosselberg</w:t>
      </w:r>
    </w:p>
    <w:p>
      <w:pPr>
        <w:pStyle w:val="ListNumber"/>
      </w:pPr>
      <w:r>
        <w:t>Mandantin Grossbach: Bilanzielle Rückstellung 8 Mio EUR Steuerlast 2026 und 8 Mio EUR Forderung gegen Engelmeier-Versicherung.</w:t>
      </w:r>
    </w:p>
    <w:p>
      <w:pPr>
        <w:pStyle w:val="ListNumber"/>
      </w:pPr>
      <w:r>
        <w:t>Sofortige Kontaktaufnahme zur Versicherung des StB.</w:t>
      </w:r>
    </w:p>
    <w:p>
      <w:pPr>
        <w:pStyle w:val="ListNumber"/>
      </w:pPr>
      <w:r>
        <w:t>Vorbereitung Anhörungsverfahren mit dem FA Erfurt (vor KSt-Bescheid 2026).</w:t>
      </w:r>
    </w:p>
    <w:p>
      <w:pPr>
        <w:pStyle w:val="ListNumber"/>
      </w:pPr>
      <w:r>
        <w:t>Vorbereitung Einspruch und AdV.</w:t>
      </w:r>
    </w:p>
    <w:p>
      <w:pPr>
        <w:pStyle w:val="ListNumber"/>
      </w:pPr>
      <w:r>
        <w:t>Vorbereitung Klageverfahren beim FG Thüringen.</w:t>
      </w:r>
    </w:p>
    <w:p>
      <w:pPr>
        <w:jc w:val="left"/>
      </w:pPr>
      <w:r>
        <w:rPr>
          <w:b/>
        </w:rPr>
        <w:t>Folgetermin:</w:t>
      </w:r>
      <w:r>
        <w:t xml:space="preserve"> Mandantenbesprechung 21.07.2026, 14:00 Uhr, Sozietät Drosselberg, Anger 32, 99084 Erfurt.</w:t>
      </w:r>
    </w:p>
    <w:p>
      <w:pPr>
        <w:jc w:val="left"/>
      </w:pPr>
      <w:r>
        <w:t>— gez. Drosselberg, Voltz, Pabst (intern)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