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Szenario B — Steuerlicher Sanierungsgewinn und § 3a IV EStG-Antrag rechtzeitig</w:t>
      </w:r>
    </w:p>
    <w:p>
      <w:pPr>
        <w:pStyle w:val="Heading2"/>
      </w:pPr>
      <w:r>
        <w:rPr>
          <w:rFonts w:ascii="Times New Roman" w:hAnsi="Times New Roman"/>
        </w:rPr>
        <w:t>Hypothese</w:t>
      </w:r>
    </w:p>
    <w:p>
      <w:pPr>
        <w:jc w:val="left"/>
      </w:pPr>
      <w:r>
        <w:t xml:space="preserve">Der § 3a IV EStG-Antrag wird </w:t>
      </w:r>
      <w:r>
        <w:rPr>
          <w:b/>
        </w:rPr>
        <w:t>rechtzeitig</w:t>
      </w:r>
      <w:r>
        <w:t xml:space="preserve"> vor Plan-Bestätigung gestellt (z. B. am 30.04.2026 mit der Plan-Vorlage). Das FA Erfurt bestätigt die unternehmensbezogene Sanierung i.S.v. § 3a Abs. 2 EStG.</w:t>
      </w:r>
    </w:p>
    <w:p>
      <w:pPr>
        <w:jc w:val="left"/>
      </w:pPr>
      <w:r>
        <w:rPr>
          <w:b/>
        </w:rPr>
        <w:t>Dieses Szenario ist die Soll-Variante des Mandats.</w:t>
      </w:r>
      <w:r>
        <w:t xml:space="preserve"> Im realen Streitfall ist es nicht eingetreten (Antrag erst 02.07.2026, siehe Aktenstück 19). Hier wird es als kontrastive Best-Practice-Variante durchgerechnet.</w:t>
      </w:r>
    </w:p>
    <w:p>
      <w:pPr>
        <w:pStyle w:val="Heading2"/>
      </w:pPr>
      <w:r>
        <w:rPr>
          <w:rFonts w:ascii="Times New Roman" w:hAnsi="Times New Roman"/>
        </w:rPr>
        <w:t>I. Antragsstellung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StB Engelmeier sendet Antrag § 3a IV EStG per ELSTER an FA Erfurt (StNr. 156/120/82736).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StB Engelmeier sendet Parallelantrag § 7b GewStG per Einschreiben an Gewerbesteueramt Stadt Erfurt.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Plan-Vorlage AG Erfurt 60 IN 188/26.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Eroerterungs- und Abstimmungstermin.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Plan-Bestätigung.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II. Verrechnungsmatrix (Soll-Variante)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 laufendes Jahr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Verlustruecktrag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 (KSt 12 Mio, GewSt 14 Mio)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-12.000.000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-14.000.000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nach § 3a Abs. 1 EStG / § 7b GewStG steuerfrei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Steuerpflichtiger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III. Steuerbescheide (erwartet)</w:t>
      </w:r>
    </w:p>
    <w:p>
      <w:pPr>
        <w:pStyle w:val="Heading3"/>
      </w:pPr>
      <w:r>
        <w:rPr>
          <w:rFonts w:ascii="Times New Roman" w:hAnsi="Times New Roman"/>
        </w:rPr>
        <w:t>KSt-Bescheid 2026 (Komplementär-GmbH)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 versteuerndes Einkommen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15 %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 5,5 % auf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KSt-Last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GewSt-Messbescheid 2026 (KG)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Gewerbeertrag (nach § 7b GewStG-Befreiung)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Steuermesszahl 3,5 %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Hebesatz Erfurt 470 %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GewSt-Last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Solidaritätszuschlag</w:t>
      </w:r>
    </w:p>
    <w:p>
      <w:pPr>
        <w:jc w:val="left"/>
      </w:pPr>
      <w:r>
        <w:t>0 EUR.</w:t>
      </w:r>
    </w:p>
    <w:p>
      <w:pPr>
        <w:pStyle w:val="Heading2"/>
      </w:pPr>
      <w:r>
        <w:rPr>
          <w:rFonts w:ascii="Times New Roman" w:hAnsi="Times New Roman"/>
        </w:rPr>
        <w:t>IV. Wirtschaftliche 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Plan-Erlöse aus Forderungsverzicht (gewinnerhoehend)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Steuerbefreiung nach § 3a EStG / § 7b GewStG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-38.000.000 (gegen Verlustvortrag und Steuerbefreiung)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Netto-Belastung Plan-Sanierung Steuern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jc w:val="left"/>
      </w:pPr>
      <w:r>
        <w:t>Die Sanierung wird durch Steuern nicht belastet. Die Liquidität der Plan-Restruktur bleibt unangetastet.</w:t>
      </w:r>
    </w:p>
    <w:p>
      <w:pPr>
        <w:pStyle w:val="Heading2"/>
      </w:pPr>
      <w:r>
        <w:rPr>
          <w:rFonts w:ascii="Times New Roman" w:hAnsi="Times New Roman"/>
        </w:rPr>
        <w:t>V. Verlustvorträge nach Sanierung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KSt-Verlustvortrag vor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 durch § 3a Abs. 3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KSt-Verlustvortrag nach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GewSt-Verlustvortrag vor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 durch § 7b GewStG i.V.m. § 3a Abs. 3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GewSt-Verlustvortrag nach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jc w:val="left"/>
      </w:pPr>
      <w:r>
        <w:t>Bindungswirkung: Verlustvortrag aufgezehrt. Folgejahre 2027 ff. ohne KSt/GewSt-Verlustvortrag, mussten sämtliche Gewinne voll besteuert werden.</w:t>
      </w:r>
    </w:p>
    <w:p>
      <w:pPr>
        <w:pStyle w:val="Heading2"/>
      </w:pPr>
      <w:r>
        <w:rPr>
          <w:rFonts w:ascii="Times New Roman" w:hAnsi="Times New Roman"/>
        </w:rPr>
        <w:t>VI. Closing Investor LR Industrial AG (nach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Steuerfolge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 100 % Komplementär-GmbH an LR Industrial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8c KStG schädlicher Beteiligungserwerb — aber kein Verlustvortrag mehr vorhanden, daher kein Schaden.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 25 % KG-Anteile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Steuerneutrale Mitunternehmeranteilsübertragung (§ 6 Abs. 3 EStG; Buchwertfortführung)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Eigenkapitalzuführung 6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Einlage, keine KSt-/GewSt-Folge</w:t>
            </w:r>
          </w:p>
        </w:tc>
      </w:tr>
    </w:tbl>
    <w:p>
      <w:pPr>
        <w:jc w:val="left"/>
      </w:pPr>
      <w:r>
        <w:t>Die durch § 3a Abs. 3 EStG-Verrechnung verbrauchten Verlustvorträge könnten in Variante "ohne Sanierung" durch § 8c KStG ebenfalls entfallen sein. Das Sequencing (Verbrauch durch Sanierung vor Closing) ist unter Steuer-Gesichtspunkten in Variante B äquivalent.</w:t>
      </w:r>
    </w:p>
    <w:p>
      <w:pPr>
        <w:pStyle w:val="Heading2"/>
      </w:pPr>
      <w:r>
        <w:rPr>
          <w:rFonts w:ascii="Times New Roman" w:hAnsi="Times New Roman"/>
        </w:rPr>
        <w:t>VII. Zusammenfassung Szenario B</w:t>
      </w:r>
    </w:p>
    <w:p>
      <w:pPr>
        <w:pStyle w:val="ListBullet"/>
      </w:pPr>
      <w:r>
        <w:t>KSt-Last 2026: 0 EUR.</w:t>
      </w:r>
    </w:p>
    <w:p>
      <w:pPr>
        <w:pStyle w:val="ListBullet"/>
      </w:pPr>
      <w:r>
        <w:t>GewSt-Last 2026: 0 EUR.</w:t>
      </w:r>
    </w:p>
    <w:p>
      <w:pPr>
        <w:pStyle w:val="ListBullet"/>
      </w:pPr>
      <w:r>
        <w:t>Verlustvorträge aufgezehrt, aber Verlust-Risiko bei Plan-Sanierung beseitigt.</w:t>
      </w:r>
    </w:p>
    <w:p>
      <w:pPr>
        <w:pStyle w:val="ListBullet"/>
      </w:pPr>
      <w:r>
        <w:t>Plan-Liquidität unverdorben.</w:t>
      </w:r>
    </w:p>
    <w:p>
      <w:pPr>
        <w:pStyle w:val="ListBullet"/>
      </w:pPr>
      <w:r>
        <w:t>Mandantin saniert ohne Steuer-Hinderung.</w:t>
      </w:r>
    </w:p>
    <w:p>
      <w:pPr>
        <w:jc w:val="left"/>
      </w:pPr>
      <w:r>
        <w:t>Das ist der Soll-Pfad. Die reale Akte zeigt aber Szenario C (Aktenstück 19) mit Verspätung und FG-Koeln-Risiko.</w:t>
      </w:r>
    </w:p>
    <w:p>
      <w:pPr>
        <w:jc w:val="left"/>
      </w:pPr>
      <w:r>
        <w:t>— gez. Voltz (StB), 22.07.2026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