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20 Mandantenbrief an Friedhelm und Bertha Grossbach — Steuerliche Lage nach Plan-Bestätigung</w:t>
      </w:r>
    </w:p>
    <w:p>
      <w:pPr>
        <w:jc w:val="left"/>
      </w:pPr>
      <w:r>
        <w:rPr>
          <w:b/>
        </w:rPr>
        <w:t>Absender:</w:t>
      </w:r>
      <w:r>
        <w:t xml:space="preserve"> Drosselberg &amp; Partner Insolvenzrecht, Anger 32, 99084 Erfurt</w:t>
      </w:r>
    </w:p>
    <w:p>
      <w:pPr>
        <w:jc w:val="left"/>
      </w:pPr>
      <w:r>
        <w:rPr>
          <w:b/>
        </w:rPr>
        <w:t>Empfänger:</w:t>
      </w:r>
      <w:r>
        <w:t xml:space="preserve"> Herr Friedhelm Grossbach und Frau Bertha Grossbach-Riemenschneider, Grossbach Verwaltungs-GmbH, Anscharstrasse 14, 99084 Erfurt</w:t>
      </w:r>
    </w:p>
    <w:p>
      <w:pPr>
        <w:jc w:val="left"/>
      </w:pPr>
      <w:r>
        <w:rPr>
          <w:b/>
        </w:rPr>
        <w:t>Datum:</w:t>
      </w:r>
      <w:r>
        <w:t xml:space="preserve"> 22.07.2026</w:t>
      </w:r>
    </w:p>
    <w:p>
      <w:pPr>
        <w:jc w:val="left"/>
      </w:pPr>
      <w:r>
        <w:rPr>
          <w:b/>
        </w:rPr>
        <w:t>Aktenzeichen:</w:t>
      </w:r>
      <w:r>
        <w:t xml:space="preserve"> Mandat Grossbach 2026/188; Sozietaets-Az 2026/188-Steu</w:t>
      </w:r>
    </w:p>
    <w:p>
      <w:pPr>
        <w:jc w:val="left"/>
      </w:pPr>
      <w:r>
        <w:rPr>
          <w:b/>
        </w:rPr>
        <w:t>Bezug:</w:t>
      </w:r>
      <w:r>
        <w:t xml:space="preserve"> AG Erfurt 60 IN 188/26 (Plan-Bestätigung 25.06.2026, Rechtskraft 24.07.2026)</w:t>
      </w:r>
    </w:p>
    <w:p/>
    <w:p>
      <w:pPr>
        <w:jc w:val="left"/>
      </w:pPr>
      <w:r>
        <w:t>Sehr geehrte Frau Grossbach-Riemenschneider, sehr geehrter Herr Grossbach,</w:t>
      </w:r>
    </w:p>
    <w:p>
      <w:pPr>
        <w:jc w:val="left"/>
      </w:pPr>
      <w:r>
        <w:t>der Insolvenzplan vom 30.04.2026 ist mit Beschluss des AG Erfurt vom 25.06.2026 rechtskräftig bestätigt. Die Beschwerdefrist ist am 24.07.2026 ohne Beschwerde abgelaufen. Damit ist die Plan-Sanierung formal erfolgreich.</w:t>
      </w:r>
    </w:p>
    <w:p>
      <w:pPr>
        <w:jc w:val="left"/>
      </w:pPr>
      <w:r>
        <w:t xml:space="preserve">Diese Erfolgsmeldung muss ich aber mit einem deutlichen Hinweis auf die </w:t>
      </w:r>
      <w:r>
        <w:rPr>
          <w:b/>
        </w:rPr>
        <w:t>steuerliche Risikolage</w:t>
      </w:r>
      <w:r>
        <w:t xml:space="preserve"> verbinden, weil die unkorrigierte Antragstellung Ihres Steuerberaters StB Dr. Engelmeier die Sanierung gefährdet.</w:t>
      </w:r>
    </w:p>
    <w:p>
      <w:pPr>
        <w:pStyle w:val="Heading2"/>
      </w:pPr>
      <w:r>
        <w:rPr>
          <w:rFonts w:ascii="Times New Roman" w:hAnsi="Times New Roman"/>
        </w:rPr>
        <w:t>I. Sachstand</w:t>
      </w:r>
    </w:p>
    <w:p>
      <w:pPr>
        <w:jc w:val="left"/>
      </w:pPr>
      <w:r>
        <w:t>Der Forderungsverzicht der Gläubiger im Insolvenzplan beträgt 38.000.000 EUR und bildet einen Sanierungsertrag in dieser Höhe. Steuerlich ist dieser Ertrag KSt- und GewSt-pflichtig, soweit er nicht durch Verlustvorträge absorbiert wird.</w:t>
      </w:r>
    </w:p>
    <w:p>
      <w:pPr>
        <w:jc w:val="left"/>
      </w:pPr>
      <w:r>
        <w:rPr>
          <w:b/>
        </w:rPr>
        <w:t>Verlustvorträge:</w:t>
      </w:r>
    </w:p>
    <w:p>
      <w:pPr>
        <w:pStyle w:val="ListBullet"/>
      </w:pPr>
      <w:r>
        <w:t>KSt-Verlustvortrag der Komplementär-GmbH zum 31.12.2025: 12.000.000 EUR</w:t>
      </w:r>
    </w:p>
    <w:p>
      <w:pPr>
        <w:pStyle w:val="ListBullet"/>
      </w:pPr>
      <w:r>
        <w:t>GewSt-Verlustvortrag der KG zum 31.12.2025: 14.000.000 EUR</w:t>
      </w:r>
    </w:p>
    <w:p>
      <w:pPr>
        <w:jc w:val="left"/>
      </w:pPr>
      <w:r>
        <w:rPr>
          <w:b/>
        </w:rPr>
        <w:t>Nach zwingender Verrechnung nach § 3a Abs. 3 EStG</w:t>
      </w:r>
      <w:r>
        <w:t xml:space="preserve"> verbleibt ein</w:t>
      </w:r>
    </w:p>
    <w:p>
      <w:pPr>
        <w:pStyle w:val="ListBullet"/>
      </w:pPr>
      <w:r>
        <w:t>KSt-Sanierungsertrag von 26.000.000 EUR und</w:t>
      </w:r>
    </w:p>
    <w:p>
      <w:pPr>
        <w:pStyle w:val="ListBullet"/>
      </w:pPr>
      <w:r>
        <w:t>GewSt-Sanierungsertrag von 24.000.000 EUR.</w:t>
      </w:r>
    </w:p>
    <w:p>
      <w:pPr>
        <w:jc w:val="left"/>
      </w:pPr>
      <w:r>
        <w:t>Diese Restbeträge sind nach § 3a Abs. 1 EStG bzw. § 7b GewStG steuerfrei zu stellen, wenn die Voraussetzungen der unternehmensbezogenen Sanierung erfüllt und ein Antrag nach § 3a Abs. 4 EStG gestellt wird.</w:t>
      </w:r>
    </w:p>
    <w:p>
      <w:pPr>
        <w:pStyle w:val="Heading2"/>
      </w:pPr>
      <w:r>
        <w:rPr>
          <w:rFonts w:ascii="Times New Roman" w:hAnsi="Times New Roman"/>
        </w:rPr>
        <w:t>II. Die Antragsproblematik</w:t>
      </w:r>
    </w:p>
    <w:p>
      <w:pPr>
        <w:jc w:val="left"/>
      </w:pPr>
      <w:r>
        <w:t>StB Engelmeier hat den Antrag § 3a Abs. 4 EStG erst am 02.07.2026 — sieben Tage nach Plan-Bestätigung — beim Finanzamt Erfurt eingereicht. Das ist nicht die mit uns abgestimmte Linie. Wir hatten ihn ausdrücklich aufgefordert, den Antrag bis spätestens 25.05.2026 zu stellen.</w:t>
      </w:r>
    </w:p>
    <w:p>
      <w:pPr>
        <w:jc w:val="left"/>
      </w:pPr>
      <w:r>
        <w:t>Das Risiko: Das FA Erfurt kann sich auf die Rechtsprechung des FG Koeln (Urteil v. 04.11.2025 — 12 K 1413/25) berufen und die Steuerbefreiung versagen.</w:t>
      </w:r>
    </w:p>
    <w:p>
      <w:pPr>
        <w:jc w:val="left"/>
      </w:pPr>
      <w:r>
        <w:rPr>
          <w:b/>
        </w:rPr>
        <w:t>Wenn die Befreiung versagt wird: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KSt-Last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3.900.000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Soli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214.500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GewSt-Last 2026 (Hebesatz Erfurt 470 %)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3.948.000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Gesamt-Steuerlast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8.062.500</w:t>
            </w:r>
          </w:p>
        </w:tc>
      </w:tr>
    </w:tbl>
    <w:p>
      <w:pPr>
        <w:jc w:val="left"/>
      </w:pPr>
      <w:r>
        <w:t>Diese Steuerlast übersteigt die Plan-Liquidität um ca. 5,5 Mio EUR und würde die Sanierung kippen.</w:t>
      </w:r>
    </w:p>
    <w:p>
      <w:pPr>
        <w:pStyle w:val="Heading2"/>
      </w:pPr>
      <w:r>
        <w:rPr>
          <w:rFonts w:ascii="Times New Roman" w:hAnsi="Times New Roman"/>
        </w:rPr>
        <w:t>III. Verteidigungslinie</w:t>
      </w:r>
    </w:p>
    <w:p>
      <w:pPr>
        <w:jc w:val="left"/>
      </w:pPr>
      <w:r>
        <w:t>Wir bewerten die Lage zugunsten Ihres Unternehmens. Es gibt drei Argumente:</w:t>
      </w:r>
    </w:p>
    <w:p>
      <w:pPr>
        <w:pStyle w:val="ListNumber"/>
      </w:pPr>
      <w:r>
        <w:rPr>
          <w:b/>
        </w:rPr>
        <w:t>Unterscheidung zum FG-Koeln-Fall.</w:t>
      </w:r>
      <w:r>
        <w:t xml:space="preserve"> Die Verzögerung im Streitfall Grossbach beträgt 7 Tage; im FG-Koeln-Fall waren es 14 Monate. Die Sanierungsabsicht der Gläubiger ist durch das Gläubigerausschuss-Protokoll vom 25.02.2026 dokumentiert, also vier Monate vor Plan-Bestätigung. Diese Dokumentation ist materiell unverändert und nicht ex post konstruiert.</w:t>
      </w:r>
    </w:p>
    <w:p>
      <w:pPr>
        <w:pStyle w:val="ListNumber"/>
      </w:pPr>
      <w:r>
        <w:rPr>
          <w:b/>
        </w:rPr>
        <w:t>Wortlaut § 3a Abs. 4 EStG.</w:t>
      </w:r>
      <w:r>
        <w:t xml:space="preserve"> Die Vorschrift enthält keine Antragsfrist. Der Antrag ist bis zur Bestandskraft des KSt-Bescheids 2026 (voraussichtlich März 2027) zulässig.</w:t>
      </w:r>
    </w:p>
    <w:p>
      <w:pPr>
        <w:pStyle w:val="ListNumber"/>
      </w:pPr>
      <w:r>
        <w:rPr>
          <w:b/>
        </w:rPr>
        <w:t>BFH-Revision X R 8/26.</w:t>
      </w:r>
      <w:r>
        <w:t xml:space="preserve"> Die Rechtsprechung des FG Koeln ist nicht höchstrichterlich bestätigt. Bei einem Einspruchsverfahren kann ein Antrag auf Ruhen des Verfahrens bis zur BFH-Entscheidung gestellt werden.</w:t>
      </w:r>
    </w:p>
    <w:p>
      <w:pPr>
        <w:pStyle w:val="Heading2"/>
      </w:pPr>
      <w:r>
        <w:rPr>
          <w:rFonts w:ascii="Times New Roman" w:hAnsi="Times New Roman"/>
        </w:rPr>
        <w:t>IV. Weitere Massnahmen</w:t>
      </w:r>
    </w:p>
    <w:p>
      <w:pPr>
        <w:jc w:val="left"/>
      </w:pPr>
      <w:r>
        <w:t>Wir empfehlen Ihnen sofort:</w:t>
      </w:r>
    </w:p>
    <w:p>
      <w:pPr>
        <w:pStyle w:val="ListNumber"/>
      </w:pPr>
      <w:r>
        <w:rPr>
          <w:b/>
        </w:rPr>
        <w:t>StB-Haftpflicht informieren.</w:t>
      </w:r>
      <w:r>
        <w:t xml:space="preserve"> StB Engelmeier hat zugesagt, seine Versicherung (Allianz, Vertragsnr. SB-1822-2024-EM) zu informieren. Bitte fragen Sie schriftlich nach (Mustervordruck als Anlage 1 dieses Briefes), ob die Versicherung den möglichen Schaden i.H.v. bis zu 8 Mio EUR übernimmt.</w:t>
      </w:r>
    </w:p>
    <w:p>
      <w:pPr>
        <w:pStyle w:val="ListNumber"/>
      </w:pPr>
      <w:r>
        <w:rPr>
          <w:b/>
        </w:rPr>
        <w:t>Rückstellung bilden.</w:t>
      </w:r>
      <w:r>
        <w:t xml:space="preserve"> In der Bilanz 2026 der Komplementär-GmbH (Grossbach Verwaltungs-GmbH) wird eine Rückstellung in Höhe von 8 Mio EUR für das Steuerrisiko angelegt. Gleichzeitig wird ein Risiko-Aktiv-Posten in Höhe von 8 Mio EUR (Forderung gegen StB-Versicherung) bilanziell erfasst. Diese Buchung muss vor Bilanzstichtag 31.12.2026 stehen.</w:t>
      </w:r>
    </w:p>
    <w:p>
      <w:pPr>
        <w:pStyle w:val="ListNumber"/>
      </w:pPr>
      <w:r>
        <w:rPr>
          <w:b/>
        </w:rPr>
        <w:t>Schreiben an FA Erfurt vor Bescheiderlass.</w:t>
      </w:r>
      <w:r>
        <w:t xml:space="preserve"> Wir bereiten ein Schreiben an das FA Erfurt vor, in dem wir die Unterscheidung zum FG-Koeln-Fall darlegen und die Behörde bitten, die Steuerbefreiung zu gewähren. Versanddatum: 30.07.2026.</w:t>
      </w:r>
    </w:p>
    <w:p>
      <w:pPr>
        <w:pStyle w:val="ListNumber"/>
      </w:pPr>
      <w:r>
        <w:rPr>
          <w:b/>
        </w:rPr>
        <w:t>Stundungsantrag für Notfall.</w:t>
      </w:r>
      <w:r>
        <w:t xml:space="preserve"> Sollten KSt- oder GewSt-Bescheide mit Versagung ergehen, beantragen wir sofort Stundung nach § 222 AO. Damit gewinnen wir Zeit für das Einspruchsverfahren.</w:t>
      </w:r>
    </w:p>
    <w:p>
      <w:pPr>
        <w:pStyle w:val="ListNumber"/>
      </w:pPr>
      <w:r>
        <w:rPr>
          <w:b/>
        </w:rPr>
        <w:t>Klageverfahren vorbereiten.</w:t>
      </w:r>
      <w:r>
        <w:t xml:space="preserve"> Sollten die Bescheide nicht im Einspruchsverfahren korrigiert werden, klagen wir vor dem FG Thüringen. Das Klagerisiko und die Kosten besprechen wir gesondert.</w:t>
      </w:r>
    </w:p>
    <w:p>
      <w:pPr>
        <w:pStyle w:val="Heading2"/>
      </w:pPr>
      <w:r>
        <w:rPr>
          <w:rFonts w:ascii="Times New Roman" w:hAnsi="Times New Roman"/>
        </w:rPr>
        <w:t>V. Zeitachse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24.07.2026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Rechtskraft Plan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30.07.2026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Vorab-Schreiben an FA Erfurt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31.10.2026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Steuererklaerung 2026 (Abgabefrist verlängert)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März 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KSt-Bescheid 2026 erwartet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April 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Einspruch und AdV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Juli 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Einspruchsentscheidung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Q3/2027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 FG Thüringen (falls erforderlich)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VI. Wirtschaftliche Lage und Sanierungserfolg</w:t>
      </w:r>
    </w:p>
    <w:p>
      <w:pPr>
        <w:jc w:val="left"/>
      </w:pPr>
      <w:r>
        <w:t>Die Plan-Umsetzung läuft an. Investor LR Industrial AG-Closing wird für Q3/2026 vorbereitet (6 Mio EUR Eigenkapital). Sozialplan-Abfindungen werden im August 2026 ausgezahlt. Der Photovoltaik-Auftrag mit Solarwerk Mecklenburg AG (14 Mio EUR über 5 Jahre) ist final verhandelt.</w:t>
      </w:r>
    </w:p>
    <w:p>
      <w:pPr>
        <w:jc w:val="left"/>
      </w:pPr>
      <w:r>
        <w:t>Bei erfolgreicher Verteidigung der § 3a EStG-Befreiung ist die Sanierung wirtschaftlich tragfähig. Bei Versagung sehen wir Wege über Stundung, Erlass und Schadensersatz gegen StB Engelmeier.</w:t>
      </w:r>
    </w:p>
    <w:p>
      <w:pPr>
        <w:pStyle w:val="Heading2"/>
      </w:pPr>
      <w:r>
        <w:rPr>
          <w:rFonts w:ascii="Times New Roman" w:hAnsi="Times New Roman"/>
        </w:rPr>
        <w:t>VII. Nächster Termin</w:t>
      </w:r>
    </w:p>
    <w:p>
      <w:pPr>
        <w:jc w:val="left"/>
      </w:pPr>
      <w:r>
        <w:t xml:space="preserve">Mandantenbesprechung </w:t>
      </w:r>
      <w:r>
        <w:rPr>
          <w:b/>
        </w:rPr>
        <w:t>Mittwoch, 29.07.2026, 14:00 Uhr</w:t>
      </w:r>
      <w:r>
        <w:t>, Sozietät Drosselberg &amp; Partner. Bitte bringen Sie StB Engelmeier mit, sodass die offenen Punkte zur Antragsstellung und Versicherung im persönlichen Gespräch geklärt werden.</w:t>
      </w:r>
    </w:p>
    <w:p>
      <w:pPr>
        <w:pStyle w:val="Heading2"/>
      </w:pPr>
      <w:r>
        <w:rPr>
          <w:rFonts w:ascii="Times New Roman" w:hAnsi="Times New Roman"/>
        </w:rPr>
        <w:t>VIII. Kostenhinweis</w:t>
      </w:r>
    </w:p>
    <w:p>
      <w:pPr>
        <w:jc w:val="left"/>
      </w:pPr>
      <w:r>
        <w:t>Wir berechnen die anwaltliche Begleitung des Steuerverfahrens auf Basis der mit Ihnen abgeschlossenen Honorarvereinbarung vom 18.02.2026 (Stundensatz RA 380 EUR, StB-Sozietaetspartner 320 EUR). Bei Klage vor dem FG Thüringen entsteht zusätzlich Klagewert-Gebühr nach RVG. Wir übermitteln Ihnen eine Kostenprognose vor Klageeinreichung.</w:t>
      </w:r>
    </w:p>
    <w:p>
      <w:pPr>
        <w:jc w:val="left"/>
      </w:pPr>
      <w:r>
        <w:t>Mit freundlichen Gruessen</w:t>
      </w:r>
    </w:p>
    <w:p>
      <w:pPr>
        <w:jc w:val="left"/>
      </w:pPr>
      <w:r>
        <w:t>Dr. Maximilian Drosselberg</w:t>
      </w:r>
    </w:p>
    <w:p>
      <w:pPr>
        <w:jc w:val="left"/>
      </w:pPr>
      <w:r>
        <w:t>Rechtsanwalt</w:t>
      </w:r>
    </w:p>
    <w:p>
      <w:pPr>
        <w:jc w:val="left"/>
      </w:pPr>
      <w:r>
        <w:t>Fachanwalt für Insolvenz- und Sanierungsrecht</w:t>
      </w:r>
    </w:p>
    <w:p>
      <w:pPr>
        <w:jc w:val="left"/>
      </w:pPr>
      <w:r>
        <w:t>Sozietät Drosselberg &amp; Partner</w:t>
      </w:r>
    </w:p>
    <w:p/>
    <w:p>
      <w:pPr>
        <w:jc w:val="left"/>
      </w:pPr>
      <w:r>
        <w:rPr>
          <w:b/>
        </w:rPr>
        <w:t>Anlagen:</w:t>
      </w:r>
    </w:p>
    <w:p>
      <w:pPr>
        <w:pStyle w:val="ListNumber"/>
      </w:pPr>
      <w:r>
        <w:t>Mustervordruck Schadensmeldung an StB-Haftpflicht (Allianz)</w:t>
      </w:r>
    </w:p>
    <w:p>
      <w:pPr>
        <w:pStyle w:val="ListNumber"/>
      </w:pPr>
      <w:r>
        <w:t>Zwischenstand-Antwort FA Erfurt v. 11.05.2026</w:t>
      </w:r>
    </w:p>
    <w:p>
      <w:pPr>
        <w:pStyle w:val="ListNumber"/>
      </w:pPr>
      <w:r>
        <w:t>ELSTER-Quittung Antrag § 3a IV EStG v. 02.07.2026</w:t>
      </w:r>
    </w:p>
    <w:p>
      <w:pPr>
        <w:pStyle w:val="ListNumber"/>
      </w:pPr>
      <w:r>
        <w:t>Memo Anwendbarkeit FG Koeln 12 K 1413/25 (Aktenstück 12)</w:t>
      </w:r>
    </w:p>
    <w:p>
      <w:pPr>
        <w:pStyle w:val="ListNumber"/>
      </w:pPr>
      <w:r>
        <w:t>Verrechnungsmatrix § 3a III EStG (Aktenstück 07)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