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05 Nachrangiges Gesellschafterdarlehen und Rangrücktritts-Vereinbarung</w:t>
      </w:r>
    </w:p>
    <w:p/>
    <w:p>
      <w:pPr>
        <w:pStyle w:val="Heading2"/>
      </w:pPr>
      <w:r>
        <w:rPr>
          <w:rFonts w:ascii="Times New Roman" w:hAnsi="Times New Roman"/>
        </w:rPr>
        <w:t>1. Historie des Darlehens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Datum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Vorgang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Betrag (EUR)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Bemerkung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12.11.2018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Abschluss Darlehensvertrag Nr. SH-GD-2018-01 zwischen Frau Helene Strassburger-Wittenburg (Darlehensgeberin) und der Strassburger Handelshof GmbH (Darlehensnehmerin)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1.800.000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Restrukturierung Lagerbestand, Eigenkapitalersatz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14.11.2018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Auszahlung Tranche 1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600.000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per Überweisung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28.12.2018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Auszahlung Tranche 2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600.000</w:t>
            </w:r>
          </w:p>
        </w:tc>
        <w:tc>
          <w:tcPr>
            <w:tcW w:type="dxa" w:w="2268"/>
          </w:tcPr>
          <w:p/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15.03.2019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Auszahlung Tranche 3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600.000</w:t>
            </w:r>
          </w:p>
        </w:tc>
        <w:tc>
          <w:tcPr>
            <w:tcW w:type="dxa" w:w="2268"/>
          </w:tcPr>
          <w:p/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14.03.2021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Aufstockung Darlehen</w:t>
            </w:r>
            <w:r>
              <w:rPr>
                <w:rFonts w:ascii="Times New Roman" w:hAnsi="Times New Roman"/>
                <w:sz w:val="20"/>
              </w:rPr>
              <w:t xml:space="preserve"> und </w:t>
            </w:r>
            <w:r>
              <w:rPr>
                <w:rFonts w:ascii="Times New Roman" w:hAnsi="Times New Roman"/>
                <w:b/>
                <w:sz w:val="20"/>
              </w:rPr>
              <w:t>gleichzeitige Vereinbarung qualifizierter Rangrücktritt</w:t>
            </w:r>
            <w:r>
              <w:rPr>
                <w:rFonts w:ascii="Times New Roman" w:hAnsi="Times New Roman"/>
                <w:sz w:val="20"/>
              </w:rPr>
              <w:t xml:space="preserve"> (Änderungsvereinbarung Nr. SH-GD-2021-02)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+ 600.000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Krisenintervention COVID, Liquiditätsbedarf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14.03.2021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Auszahlung Aufstockungs-Tranche 1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200.000</w:t>
            </w:r>
          </w:p>
        </w:tc>
        <w:tc>
          <w:tcPr>
            <w:tcW w:type="dxa" w:w="2268"/>
          </w:tcPr>
          <w:p/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30.06.2021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Auszahlung Aufstockungs-Tranche 2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200.000</w:t>
            </w:r>
          </w:p>
        </w:tc>
        <w:tc>
          <w:tcPr>
            <w:tcW w:type="dxa" w:w="2268"/>
          </w:tcPr>
          <w:p/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31.10.2021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Auszahlung Aufstockungs-Tranche 3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200.000</w:t>
            </w:r>
          </w:p>
        </w:tc>
        <w:tc>
          <w:tcPr>
            <w:tcW w:type="dxa" w:w="2268"/>
          </w:tcPr>
          <w:p/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15.04.2026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Stand Darlehen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2.400.000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keine Tilgung, Zinsen 0 % vereinbart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</w:rPr>
        <w:t>2. Darlehensvertrag Nr. SH-GD-2018-01 (Kerninhalt)</w:t>
      </w:r>
    </w:p>
    <w:p>
      <w:pPr>
        <w:ind w:left="567"/>
      </w:pPr>
      <w:r>
        <w:rPr>
          <w:b/>
          <w:i/>
        </w:rPr>
        <w:t>Darlehensvertrag</w:t>
      </w:r>
    </w:p>
    <w:p>
      <w:pPr>
        <w:ind w:left="567"/>
      </w:pPr>
    </w:p>
    <w:p>
      <w:pPr>
        <w:ind w:left="567"/>
      </w:pPr>
      <w:r>
        <w:rPr>
          <w:i/>
        </w:rPr>
        <w:t>zwischen</w:t>
      </w:r>
    </w:p>
    <w:p>
      <w:pPr>
        <w:ind w:left="567"/>
      </w:pPr>
    </w:p>
    <w:p>
      <w:pPr>
        <w:ind w:left="567"/>
      </w:pPr>
      <w:r>
        <w:rPr>
          <w:b/>
          <w:i/>
        </w:rPr>
        <w:t>Frau Helene Strassburger-Wittenburg</w:t>
      </w:r>
      <w:r>
        <w:rPr>
          <w:i/>
        </w:rPr>
        <w:t>, geb. 17.04.1958, Bleibtreustrasse 14, 10623 Berlin</w:t>
      </w:r>
    </w:p>
    <w:p>
      <w:pPr>
        <w:ind w:left="567"/>
      </w:pPr>
      <w:r>
        <w:rPr>
          <w:i/>
        </w:rPr>
        <w:t>— nachfolgend "Darlehensgeberin" —</w:t>
      </w:r>
    </w:p>
    <w:p>
      <w:pPr>
        <w:ind w:left="567"/>
      </w:pPr>
    </w:p>
    <w:p>
      <w:pPr>
        <w:ind w:left="567"/>
      </w:pPr>
      <w:r>
        <w:rPr>
          <w:i/>
        </w:rPr>
        <w:t>und</w:t>
      </w:r>
    </w:p>
    <w:p>
      <w:pPr>
        <w:ind w:left="567"/>
      </w:pPr>
    </w:p>
    <w:p>
      <w:pPr>
        <w:ind w:left="567"/>
      </w:pPr>
      <w:r>
        <w:rPr>
          <w:b/>
          <w:i/>
        </w:rPr>
        <w:t>Strassburger Handelshof GmbH</w:t>
      </w:r>
      <w:r>
        <w:rPr>
          <w:i/>
        </w:rPr>
        <w:t>, Mommsenstrasse 71a, 10629 Berlin, vertreten durch die Geschäftsführerin Helene Strassburger-Wittenburg</w:t>
      </w:r>
    </w:p>
    <w:p>
      <w:pPr>
        <w:ind w:left="567"/>
      </w:pPr>
      <w:r>
        <w:rPr>
          <w:i/>
        </w:rPr>
        <w:t>— nachfolgend "Darlehensnehmerin" —</w:t>
      </w:r>
    </w:p>
    <w:p>
      <w:pPr>
        <w:ind w:left="567"/>
      </w:pPr>
    </w:p>
    <w:p>
      <w:pPr>
        <w:ind w:left="567"/>
      </w:pPr>
      <w:r>
        <w:rPr>
          <w:i/>
        </w:rPr>
        <w:t xml:space="preserve">§ 1 Darlehensgewährung: Die Darlehensgeberin gewährt der Darlehensnehmerin ein Darlehen in Höhe von </w:t>
      </w:r>
      <w:r>
        <w:rPr>
          <w:b/>
          <w:i/>
        </w:rPr>
        <w:t>1.800.000,00 EUR</w:t>
      </w:r>
      <w:r>
        <w:rPr>
          <w:i/>
        </w:rPr>
        <w:t xml:space="preserve"> (in Worten: eine Million achthunderttausend Euro), aufgeteilt in drei Tranchen zu je 600.000,00 EUR, fällig zur Auszahlung gemäß Anlage 1.</w:t>
      </w:r>
    </w:p>
    <w:p>
      <w:pPr>
        <w:ind w:left="567"/>
      </w:pPr>
    </w:p>
    <w:p>
      <w:pPr>
        <w:ind w:left="567"/>
      </w:pPr>
      <w:r>
        <w:rPr>
          <w:i/>
        </w:rPr>
        <w:t>§ 2 Zweck: Das Darlehen dient der Aufstockung der Liquidität und der Restrukturierung des Lagerbestandes.</w:t>
      </w:r>
    </w:p>
    <w:p>
      <w:pPr>
        <w:ind w:left="567"/>
      </w:pPr>
    </w:p>
    <w:p>
      <w:pPr>
        <w:ind w:left="567"/>
      </w:pPr>
      <w:r>
        <w:rPr>
          <w:i/>
        </w:rPr>
        <w:t xml:space="preserve">§ 3 Verzinsung: Das Darlehen wird </w:t>
      </w:r>
      <w:r>
        <w:rPr>
          <w:b/>
          <w:i/>
        </w:rPr>
        <w:t>zinslos</w:t>
      </w:r>
      <w:r>
        <w:rPr>
          <w:i/>
        </w:rPr>
        <w:t xml:space="preserve"> gewährt.</w:t>
      </w:r>
    </w:p>
    <w:p>
      <w:pPr>
        <w:ind w:left="567"/>
      </w:pPr>
    </w:p>
    <w:p>
      <w:pPr>
        <w:ind w:left="567"/>
      </w:pPr>
      <w:r>
        <w:rPr>
          <w:i/>
        </w:rPr>
        <w:t>§ 4 Tilgung: Die Darlehensnehmerin tilgt das Darlehen in einer Summe spätestens zum 31.12.2030.</w:t>
      </w:r>
    </w:p>
    <w:p>
      <w:pPr>
        <w:ind w:left="567"/>
      </w:pPr>
    </w:p>
    <w:p>
      <w:pPr>
        <w:ind w:left="567"/>
      </w:pPr>
      <w:r>
        <w:rPr>
          <w:i/>
        </w:rPr>
        <w:t>§ 5 Sicherheiten: keine.</w:t>
      </w:r>
    </w:p>
    <w:p>
      <w:pPr>
        <w:ind w:left="567"/>
      </w:pPr>
    </w:p>
    <w:p>
      <w:pPr>
        <w:ind w:left="567"/>
      </w:pPr>
      <w:r>
        <w:rPr>
          <w:i/>
        </w:rPr>
        <w:t>§ 6 Verzicht auf Gläubigeranfechtung: Die Darlehensgeberin verzichtet auf sämtliche Gläubigerschutzrechte, die sich aus dem GmbHG oder dem AnfG ergeben könnten, ausdrücklich nicht.</w:t>
      </w:r>
    </w:p>
    <w:p>
      <w:pPr>
        <w:ind w:left="567"/>
      </w:pPr>
    </w:p>
    <w:p>
      <w:pPr>
        <w:ind w:left="567"/>
      </w:pPr>
      <w:r>
        <w:rPr>
          <w:i/>
        </w:rPr>
        <w:t>§ 7 Anwendbares Recht / Gerichtsstand: Deutsches Recht. Gerichtsstand Berlin.</w:t>
      </w:r>
    </w:p>
    <w:p>
      <w:pPr>
        <w:ind w:left="567"/>
      </w:pPr>
    </w:p>
    <w:p>
      <w:pPr>
        <w:ind w:left="567"/>
      </w:pPr>
      <w:r>
        <w:rPr>
          <w:i/>
        </w:rPr>
        <w:t>Berlin, den 12.11.2018</w:t>
      </w:r>
    </w:p>
    <w:p>
      <w:pPr>
        <w:ind w:left="567"/>
      </w:pPr>
    </w:p>
    <w:p>
      <w:pPr>
        <w:ind w:left="567"/>
      </w:pPr>
      <w:r>
        <w:rPr>
          <w:i/>
        </w:rPr>
        <w:t>Helene Strassburger-Wittenburg</w:t>
      </w:r>
      <w:r>
        <w:rPr>
          <w:i/>
        </w:rPr>
        <w:t xml:space="preserve"> (Darlehensgeberin)</w:t>
      </w:r>
    </w:p>
    <w:p>
      <w:pPr>
        <w:ind w:left="567"/>
      </w:pPr>
      <w:r>
        <w:rPr>
          <w:i/>
        </w:rPr>
        <w:t>Helene Strassburger-Wittenburg</w:t>
      </w:r>
      <w:r>
        <w:rPr>
          <w:i/>
        </w:rPr>
        <w:t xml:space="preserve"> (für die Strassburger Handelshof GmbH, Geschäftsführerin)</w:t>
      </w:r>
    </w:p>
    <w:p/>
    <w:p>
      <w:pPr>
        <w:pStyle w:val="Heading2"/>
      </w:pPr>
      <w:r>
        <w:rPr>
          <w:rFonts w:ascii="Times New Roman" w:hAnsi="Times New Roman"/>
        </w:rPr>
        <w:t>3. Änderungsvereinbarung Nr. SH-GD-2021-02 — Qualifizierter Rangrücktritt mit Tilgungsvorbehalt (Kerninhalt)</w:t>
      </w:r>
    </w:p>
    <w:p>
      <w:pPr>
        <w:ind w:left="567"/>
      </w:pPr>
      <w:r>
        <w:rPr>
          <w:b/>
          <w:i/>
        </w:rPr>
        <w:t>Änderungsvereinbarung zum Darlehensvertrag SH-GD-2018-01 — Qualifizierter Rangrücktritt mit Tilgungsvorbehalt</w:t>
      </w:r>
    </w:p>
    <w:p>
      <w:pPr>
        <w:ind w:left="567"/>
      </w:pPr>
    </w:p>
    <w:p>
      <w:pPr>
        <w:ind w:left="567"/>
      </w:pPr>
      <w:r>
        <w:rPr>
          <w:i/>
        </w:rPr>
        <w:t>zwischen</w:t>
      </w:r>
    </w:p>
    <w:p>
      <w:pPr>
        <w:ind w:left="567"/>
      </w:pPr>
    </w:p>
    <w:p>
      <w:pPr>
        <w:ind w:left="567"/>
      </w:pPr>
      <w:r>
        <w:rPr>
          <w:i/>
        </w:rPr>
        <w:t>Frau Helene Strassburger-Wittenburg (Darlehensgeberin) und Strassburger Handelshof GmbH (Darlehensnehmerin) — gemeinsam: die "Parteien" —</w:t>
      </w:r>
    </w:p>
    <w:p>
      <w:pPr>
        <w:ind w:left="567"/>
      </w:pPr>
    </w:p>
    <w:p>
      <w:pPr>
        <w:ind w:left="567"/>
      </w:pPr>
      <w:r>
        <w:rPr>
          <w:i/>
        </w:rPr>
        <w:t>Vorbemerkung: Die Darlehensgeberin hat der Darlehensnehmerin am 12.11.2018 ein Darlehen in Höhe von 1.800.000,00 EUR gewährt. Aufgrund der wirtschaftlichen Belastungen der Darlehensnehmerin durch die Folgen der COVID-19-Pandemie wird das Darlehen aufgestockt und mit einem qualifizierten Rangrücktritt versehen.</w:t>
      </w:r>
    </w:p>
    <w:p>
      <w:pPr>
        <w:ind w:left="567"/>
      </w:pPr>
    </w:p>
    <w:p>
      <w:pPr>
        <w:ind w:left="567"/>
      </w:pPr>
      <w:r>
        <w:rPr>
          <w:i/>
        </w:rPr>
        <w:t xml:space="preserve">§ 1 Aufstockung: Die Darlehensgeberin gewährt der Darlehensnehmerin ein weiteres Darlehen in Höhe von </w:t>
      </w:r>
      <w:r>
        <w:rPr>
          <w:b/>
          <w:i/>
        </w:rPr>
        <w:t>600.000,00 EUR</w:t>
      </w:r>
      <w:r>
        <w:rPr>
          <w:i/>
        </w:rPr>
        <w:t xml:space="preserve">. Die Auszahlung erfolgt in drei Tranchen zu je 200.000 EUR, fällig 14.03.2021, 30.06.2021, 31.10.2021. Die Aufstockung wird Bestandteil des Darlehensvertrags SH-GD-2018-01. Insgesamt beläuft sich das Darlehen damit auf </w:t>
      </w:r>
      <w:r>
        <w:rPr>
          <w:b/>
          <w:i/>
        </w:rPr>
        <w:t>2.400.000,00 EUR</w:t>
      </w:r>
      <w:r>
        <w:rPr>
          <w:i/>
        </w:rPr>
        <w:t>.</w:t>
      </w:r>
    </w:p>
    <w:p>
      <w:pPr>
        <w:ind w:left="567"/>
      </w:pPr>
    </w:p>
    <w:p>
      <w:pPr>
        <w:ind w:left="567"/>
      </w:pPr>
      <w:r>
        <w:rPr>
          <w:i/>
        </w:rPr>
        <w:t xml:space="preserve">§ 2 </w:t>
      </w:r>
      <w:r>
        <w:rPr>
          <w:b/>
          <w:i/>
        </w:rPr>
        <w:t>Qualifizierter Rangrücktritt mit Tilgungsvorbehalt aus freiem Vermögen</w:t>
      </w:r>
      <w:r>
        <w:rPr>
          <w:i/>
        </w:rPr>
        <w:t>:</w:t>
      </w:r>
    </w:p>
    <w:p>
      <w:pPr>
        <w:ind w:left="567"/>
      </w:pPr>
    </w:p>
    <w:p>
      <w:pPr>
        <w:ind w:left="567"/>
      </w:pPr>
      <w:r>
        <w:rPr>
          <w:i/>
        </w:rPr>
        <w:t>(1) Die Darlehensgeberin erklärt, mit ihrer Darlehensforderung aus dem Darlehensvertrag (in der Fassung dieser Änderungsvereinbarung) im Range hinter sämtliche gegenwärtigen und künftigen Forderungen aller anderen Gläubiger der Darlehensnehmerin zurückzutreten.</w:t>
      </w:r>
    </w:p>
    <w:p>
      <w:pPr>
        <w:ind w:left="567"/>
      </w:pPr>
    </w:p>
    <w:p>
      <w:pPr>
        <w:ind w:left="567"/>
      </w:pPr>
      <w:r>
        <w:rPr>
          <w:i/>
        </w:rPr>
        <w:t>(2) Die Darlehensgeberin kann Tilgungen und Zinsen nur verlangen aus</w:t>
      </w:r>
    </w:p>
    <w:p>
      <w:pPr>
        <w:ind w:left="567"/>
      </w:pPr>
      <w:r>
        <w:rPr>
          <w:i/>
        </w:rPr>
        <w:t xml:space="preserve">a) einem </w:t>
      </w:r>
      <w:r>
        <w:rPr>
          <w:b/>
          <w:i/>
        </w:rPr>
        <w:t>künftigen Bilanzgewinn</w:t>
      </w:r>
      <w:r>
        <w:rPr>
          <w:i/>
        </w:rPr>
        <w:t>;</w:t>
      </w:r>
    </w:p>
    <w:p>
      <w:pPr>
        <w:ind w:left="567"/>
      </w:pPr>
      <w:r>
        <w:rPr>
          <w:i/>
        </w:rPr>
        <w:t xml:space="preserve">b) einem </w:t>
      </w:r>
      <w:r>
        <w:rPr>
          <w:b/>
          <w:i/>
        </w:rPr>
        <w:t>künftigen Liquidationsüberschuss</w:t>
      </w:r>
      <w:r>
        <w:rPr>
          <w:i/>
        </w:rPr>
        <w:t>;</w:t>
      </w:r>
    </w:p>
    <w:p>
      <w:pPr>
        <w:ind w:left="567"/>
      </w:pPr>
      <w:r>
        <w:rPr>
          <w:i/>
        </w:rPr>
        <w:t xml:space="preserve">c) </w:t>
      </w:r>
      <w:r>
        <w:rPr>
          <w:b/>
          <w:i/>
        </w:rPr>
        <w:t>sonstigem freien Vermögen</w:t>
      </w:r>
      <w:r>
        <w:rPr>
          <w:i/>
        </w:rPr>
        <w:t xml:space="preserve">, das die Darlehensnehmerin </w:t>
      </w:r>
      <w:r>
        <w:rPr>
          <w:b/>
          <w:i/>
        </w:rPr>
        <w:t>nach Befriedigung aller anderen Gläubiger</w:t>
      </w:r>
      <w:r>
        <w:rPr>
          <w:i/>
        </w:rPr>
        <w:t xml:space="preserve"> noch hat.</w:t>
      </w:r>
    </w:p>
    <w:p>
      <w:pPr>
        <w:ind w:left="567"/>
      </w:pPr>
    </w:p>
    <w:p>
      <w:pPr>
        <w:ind w:left="567"/>
      </w:pPr>
      <w:r>
        <w:rPr>
          <w:i/>
        </w:rPr>
        <w:t xml:space="preserve">(3) Solange die Darlehensnehmerin </w:t>
      </w:r>
      <w:r>
        <w:rPr>
          <w:b/>
          <w:i/>
        </w:rPr>
        <w:t>bilanziell überschuldet</w:t>
      </w:r>
      <w:r>
        <w:rPr>
          <w:i/>
        </w:rPr>
        <w:t xml:space="preserve"> ist, sind Tilgungen und Zinsen ausgeschlossen.</w:t>
      </w:r>
    </w:p>
    <w:p>
      <w:pPr>
        <w:ind w:left="567"/>
      </w:pPr>
    </w:p>
    <w:p>
      <w:pPr>
        <w:ind w:left="567"/>
      </w:pPr>
      <w:r>
        <w:rPr>
          <w:i/>
        </w:rPr>
        <w:t xml:space="preserve">(4) Der Rangrücktritt soll die Verbindlichkeit der Darlehensnehmerin nicht in eine Eigenkapitalposition umqualifizieren; es bleibt bei der Darlehensverbindlichkeit. Die Parteien wollen den </w:t>
      </w:r>
      <w:r>
        <w:rPr>
          <w:b/>
          <w:i/>
        </w:rPr>
        <w:t>Insolvenzgrund der Überschuldung gemäß § 19 InsO entfallen lassen</w:t>
      </w:r>
      <w:r>
        <w:rPr>
          <w:i/>
        </w:rPr>
        <w:t>, insbesondere im Sinne des § 19 Abs. 2 S. 3 InsO (seit SanInsFoG).</w:t>
      </w:r>
    </w:p>
    <w:p>
      <w:pPr>
        <w:ind w:left="567"/>
      </w:pPr>
    </w:p>
    <w:p>
      <w:pPr>
        <w:ind w:left="567"/>
      </w:pPr>
      <w:r>
        <w:rPr>
          <w:i/>
        </w:rPr>
        <w:t>§ 3 Sonstige Bestimmungen: § 4 (Tilgung) wird aufgehoben. § 1, § 3, § 5, § 6, § 7 des Darlehensvertrags vom 12.11.2018 bleiben unverändert.</w:t>
      </w:r>
    </w:p>
    <w:p>
      <w:pPr>
        <w:ind w:left="567"/>
      </w:pPr>
    </w:p>
    <w:p>
      <w:pPr>
        <w:ind w:left="567"/>
      </w:pPr>
      <w:r>
        <w:rPr>
          <w:i/>
        </w:rPr>
        <w:t>Berlin, den 14.03.2021</w:t>
      </w:r>
    </w:p>
    <w:p>
      <w:pPr>
        <w:ind w:left="567"/>
      </w:pPr>
    </w:p>
    <w:p>
      <w:pPr>
        <w:ind w:left="567"/>
      </w:pPr>
      <w:r>
        <w:rPr>
          <w:i/>
        </w:rPr>
        <w:t>Helene Strassburger-Wittenburg</w:t>
      </w:r>
      <w:r>
        <w:rPr>
          <w:i/>
        </w:rPr>
        <w:t xml:space="preserve"> (Darlehensgeberin)</w:t>
      </w:r>
    </w:p>
    <w:p>
      <w:pPr>
        <w:ind w:left="567"/>
      </w:pPr>
      <w:r>
        <w:rPr>
          <w:i/>
        </w:rPr>
        <w:t>Helene Strassburger-Wittenburg</w:t>
      </w:r>
      <w:r>
        <w:rPr>
          <w:i/>
        </w:rPr>
        <w:t xml:space="preserve"> (für die Strassburger Handelshof GmbH, Geschäftsführerin)</w:t>
      </w:r>
    </w:p>
    <w:p/>
    <w:p>
      <w:pPr>
        <w:pStyle w:val="Heading2"/>
      </w:pPr>
      <w:r>
        <w:rPr>
          <w:rFonts w:ascii="Times New Roman" w:hAnsi="Times New Roman"/>
        </w:rPr>
        <w:t>4. Steuerliche Konsequenzen des Rangrücktritts</w:t>
      </w:r>
    </w:p>
    <w:p>
      <w:pPr>
        <w:pStyle w:val="Heading3"/>
      </w:pPr>
      <w:r>
        <w:rPr>
          <w:rFonts w:ascii="Times New Roman" w:hAnsi="Times New Roman"/>
        </w:rPr>
        <w:t>4.1 Wirkung auf den Insolvenzgrund</w:t>
      </w:r>
    </w:p>
    <w:p>
      <w:pPr>
        <w:pStyle w:val="ListBullet"/>
      </w:pPr>
      <w:r>
        <w:t xml:space="preserve">Der qualifizierte Rangrücktritt mit Tilgungsvorbehalt nimmt das Darlehen aus dem Ueberschuldungsstatus nach </w:t>
      </w:r>
      <w:r>
        <w:rPr>
          <w:b/>
        </w:rPr>
        <w:t>§ 19 Abs. 2 S. 3 InsO</w:t>
      </w:r>
      <w:r>
        <w:t xml:space="preserve">. Die Verbindlichkeit wird nicht in den Ueberschuldungsstatus eingestellt; die GmbH ist </w:t>
      </w:r>
      <w:r>
        <w:rPr>
          <w:b/>
        </w:rPr>
        <w:t>nicht überschuldet</w:t>
      </w:r>
      <w:r>
        <w:t xml:space="preserve"> im insolvenzrechtlichen Sinne.</w:t>
      </w:r>
    </w:p>
    <w:p>
      <w:pPr>
        <w:pStyle w:val="Heading3"/>
      </w:pPr>
      <w:r>
        <w:rPr>
          <w:rFonts w:ascii="Times New Roman" w:hAnsi="Times New Roman"/>
        </w:rPr>
        <w:t>4.2 Wirkung auf die Handelsbilanz</w:t>
      </w:r>
    </w:p>
    <w:p>
      <w:pPr>
        <w:pStyle w:val="ListBullet"/>
      </w:pPr>
      <w:r>
        <w:t xml:space="preserve">Handelsbilanziell bleibt die Verbindlichkeit </w:t>
      </w:r>
      <w:r>
        <w:rPr>
          <w:b/>
        </w:rPr>
        <w:t>passiviert</w:t>
      </w:r>
      <w:r>
        <w:t xml:space="preserve"> (HGB-Sicht: schuldrechtliche Forderung der Gesellschafterin gegen die GmbH besteht fort; Rangrücktritt ändert daran nichts).</w:t>
      </w:r>
    </w:p>
    <w:p>
      <w:pPr>
        <w:pStyle w:val="Heading3"/>
      </w:pPr>
      <w:r>
        <w:rPr>
          <w:rFonts w:ascii="Times New Roman" w:hAnsi="Times New Roman"/>
        </w:rPr>
        <w:t>4.3 Wirkung auf die Steuerbilanz — § 5 Abs. 2a EStG</w:t>
      </w:r>
    </w:p>
    <w:p>
      <w:pPr>
        <w:jc w:val="left"/>
      </w:pPr>
      <w:r>
        <w:t xml:space="preserve">Hier liegt der </w:t>
      </w:r>
      <w:r>
        <w:rPr>
          <w:b/>
        </w:rPr>
        <w:t>steuerliche Konfliktpunkt</w:t>
      </w:r>
      <w:r>
        <w:t>.</w:t>
      </w:r>
    </w:p>
    <w:p>
      <w:pPr>
        <w:pStyle w:val="ListBullet"/>
      </w:pPr>
      <w:r>
        <w:rPr>
          <w:b/>
        </w:rPr>
        <w:t>§ 5 Abs. 2a EStG</w:t>
      </w:r>
      <w:r>
        <w:t>: "Für Verpflichtungen, die nur zu erfüllen sind, soweit künftige Einnahmen oder Gewinne anfallen, sind Verbindlichkeiten oder Rückstellungen erst anzusetzen, wenn die Einnahmen oder Gewinne angefallen sind."</w:t>
      </w:r>
    </w:p>
    <w:p>
      <w:pPr>
        <w:pStyle w:val="ListBullet"/>
      </w:pPr>
      <w:r>
        <w:t xml:space="preserve">Bei einem </w:t>
      </w:r>
      <w:r>
        <w:rPr>
          <w:b/>
        </w:rPr>
        <w:t>qualifizierten Rangrücktritt mit ausschliesslichem Tilgungsvorbehalt aus künftigen Gewinnen</w:t>
      </w:r>
      <w:r>
        <w:t xml:space="preserve"> greift das Passivierungsverbot nach staend. Rspr.; maszgebend ist nun </w:t>
      </w:r>
      <w:r>
        <w:rPr>
          <w:b/>
        </w:rPr>
        <w:t>BFH, Urt. v. 19.08.2020 — XI R 32/18, BStBl. II 2021, 279</w:t>
      </w:r>
      <w:r>
        <w:t>.</w:t>
      </w:r>
    </w:p>
    <w:p>
      <w:pPr>
        <w:pStyle w:val="ListBullet"/>
      </w:pPr>
      <w:r>
        <w:t xml:space="preserve">Bei einem </w:t>
      </w:r>
      <w:r>
        <w:rPr>
          <w:b/>
        </w:rPr>
        <w:t>Rangrücktritt mit zusätzlichem Tilgungsvorbehalt aus sonstigem freien Vermögen</w:t>
      </w:r>
      <w:r>
        <w:t xml:space="preserve"> ist die Lage anders: Die Verbindlichkeit ist auch aus </w:t>
      </w:r>
      <w:r>
        <w:rPr>
          <w:i/>
        </w:rPr>
        <w:t>bereits vorhandenem</w:t>
      </w:r>
      <w:r>
        <w:t xml:space="preserve"> freien Vermögen tilgbar, daher greift § 5 Abs. 2a EStG </w:t>
      </w:r>
      <w:r>
        <w:rPr>
          <w:b/>
        </w:rPr>
        <w:t>nicht</w:t>
      </w:r>
      <w:r>
        <w:t xml:space="preserve">; die Verbindlichkeit bleibt steuerbilanziell </w:t>
      </w:r>
      <w:r>
        <w:rPr>
          <w:b/>
        </w:rPr>
        <w:t>passiviert</w:t>
      </w:r>
      <w:r>
        <w:t>.</w:t>
      </w:r>
    </w:p>
    <w:p>
      <w:pPr>
        <w:jc w:val="left"/>
      </w:pPr>
      <w:r>
        <w:t xml:space="preserve">Im vorliegenden Vertrag (§ 2 Abs. 2 lit. c der Änderungsvereinbarung 2021) ist die Tilgung auch aus </w:t>
      </w:r>
      <w:r>
        <w:rPr>
          <w:i/>
        </w:rPr>
        <w:t>sonstigem freien Vermögen</w:t>
      </w:r>
      <w:r>
        <w:t xml:space="preserve"> der GmbH vorgesehen, das nach Befriedigung anderer Gläubiger noch vorhanden ist. Damit ist eine Tilgung </w:t>
      </w:r>
      <w:r>
        <w:rPr>
          <w:b/>
        </w:rPr>
        <w:t>nicht</w:t>
      </w:r>
      <w:r>
        <w:t xml:space="preserve"> ausschliesslich an </w:t>
      </w:r>
      <w:r>
        <w:rPr>
          <w:i/>
        </w:rPr>
        <w:t>künftige Gewinne</w:t>
      </w:r>
      <w:r>
        <w:t xml:space="preserve"> gebunden.</w:t>
      </w:r>
    </w:p>
    <w:p>
      <w:pPr>
        <w:jc w:val="left"/>
      </w:pPr>
      <w:r>
        <w:rPr>
          <w:b/>
        </w:rPr>
        <w:t>Vorläufige Einschätzung:</w:t>
      </w:r>
      <w:r>
        <w:t xml:space="preserve"> § 5 Abs. 2a EStG greift </w:t>
      </w:r>
      <w:r>
        <w:rPr>
          <w:b/>
        </w:rPr>
        <w:t>nicht</w:t>
      </w:r>
      <w:r>
        <w:t xml:space="preserve">, die Verbindlichkeit bleibt steuerbilanziell passiviert. Dies entspricht der üblichen Praxis bei qualifiziertem Rangrücktritt </w:t>
      </w:r>
      <w:r>
        <w:rPr>
          <w:b/>
        </w:rPr>
        <w:t>mit Tilgungsvorbehalt aus freiem Vermögen</w:t>
      </w:r>
      <w:r>
        <w:t xml:space="preserve"> (im Unterschied zur engen "Nur-aus-zukünftigen-Gewinnen"-Variante).</w:t>
      </w:r>
    </w:p>
    <w:p>
      <w:pPr>
        <w:jc w:val="left"/>
      </w:pPr>
      <w:r>
        <w:t xml:space="preserve">Ergänzend: Die allgemeinen Passivierungsvoraussetzungen nach </w:t>
      </w:r>
      <w:r>
        <w:rPr>
          <w:b/>
        </w:rPr>
        <w:t>BFH, Urt. v. 30.11.2011 — I R 100/10, DStR 2012, 450</w:t>
      </w:r>
      <w:r>
        <w:t xml:space="preserve"> (bestimmter Verpflichtungsinhalt, durchsetzbar, wirtschaftliche Belastung) sind erfüllt. Die Bewertung erfolgt nach </w:t>
      </w:r>
      <w:r>
        <w:rPr>
          <w:b/>
        </w:rPr>
        <w:t>§ 6 Abs. 1 Nr. 3 EStG i.V.m. § 12 Abs. 1 BewG</w:t>
      </w:r>
      <w:r>
        <w:t xml:space="preserve"> mit dem </w:t>
      </w:r>
      <w:r>
        <w:rPr>
          <w:b/>
        </w:rPr>
        <w:t>Nennwert</w:t>
      </w:r>
      <w:r>
        <w:t xml:space="preserve"> von 2.400.000 EUR.</w:t>
      </w:r>
    </w:p>
    <w:p>
      <w:pPr>
        <w:jc w:val="left"/>
      </w:pPr>
      <w:r>
        <w:t xml:space="preserve">Detaillierte Pruefung: </w:t>
      </w:r>
      <w:r>
        <w:rPr>
          <w:b/>
        </w:rPr>
        <w:t>Aktenstück 06</w:t>
      </w:r>
      <w:r>
        <w:t>.</w:t>
      </w:r>
    </w:p>
    <w:p>
      <w:pPr>
        <w:pStyle w:val="Heading3"/>
      </w:pPr>
      <w:r>
        <w:rPr>
          <w:rFonts w:ascii="Times New Roman" w:hAnsi="Times New Roman"/>
        </w:rPr>
        <w:t>4.4 Wirkung auf § 17 EStG (Privatebene)</w:t>
      </w:r>
    </w:p>
    <w:p>
      <w:pPr>
        <w:pStyle w:val="ListBullet"/>
      </w:pPr>
      <w:r>
        <w:t xml:space="preserve">Die Hingabe und das Stehenlassen des Darlehens in der Krise können unter den engen Voraussetzungen der neuen BFH-Rechtsprechung als </w:t>
      </w:r>
      <w:r>
        <w:rPr>
          <w:b/>
        </w:rPr>
        <w:t>nachträgliche Anschaffungskosten</w:t>
      </w:r>
      <w:r>
        <w:t xml:space="preserve"> auf den Geschäftsanteil berücksichtigt werden (BFH-Linie nach Änderung 2017/2019 zur Eigenkapitalersatzregel).</w:t>
      </w:r>
    </w:p>
    <w:p>
      <w:pPr>
        <w:pStyle w:val="ListBullet"/>
      </w:pPr>
      <w:r>
        <w:t xml:space="preserve">Detaillierte Pruefung: </w:t>
      </w:r>
      <w:r>
        <w:rPr>
          <w:b/>
        </w:rPr>
        <w:t>Aktenstück 14</w:t>
      </w:r>
      <w:r>
        <w:t>.</w:t>
      </w:r>
    </w:p>
    <w:p/>
    <w:p>
      <w:pPr>
        <w:pStyle w:val="Heading2"/>
      </w:pPr>
      <w:r>
        <w:rPr>
          <w:rFonts w:ascii="Times New Roman" w:hAnsi="Times New Roman"/>
        </w:rPr>
        <w:t>5. Querverweise</w:t>
      </w:r>
    </w:p>
    <w:p>
      <w:pPr>
        <w:pStyle w:val="ListBullet"/>
      </w:pPr>
      <w:r>
        <w:t xml:space="preserve">§ 5 Abs. 2a EStG: </w:t>
      </w:r>
      <w:r>
        <w:rPr>
          <w:b/>
        </w:rPr>
        <w:t>Aktenstück 06</w:t>
      </w:r>
    </w:p>
    <w:p>
      <w:pPr>
        <w:pStyle w:val="ListBullet"/>
      </w:pPr>
      <w:r>
        <w:t xml:space="preserve">Behandlung in den drei Szenarien: </w:t>
      </w:r>
      <w:r>
        <w:rPr>
          <w:b/>
        </w:rPr>
        <w:t>Aktenstücke 08, 09, 10</w:t>
      </w:r>
    </w:p>
    <w:p>
      <w:pPr>
        <w:pStyle w:val="ListBullet"/>
      </w:pPr>
      <w:r>
        <w:t xml:space="preserve">§ 17 EStG auf Privatebene: </w:t>
      </w:r>
      <w:r>
        <w:rPr>
          <w:b/>
        </w:rPr>
        <w:t>Aktenstück 14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