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Pruefung § 5 Abs. 2a EStG — Passivierungsverbot bei Rangrücktritt</w:t>
      </w:r>
    </w:p>
    <w:p>
      <w:pPr>
        <w:jc w:val="left"/>
      </w:pPr>
      <w:r>
        <w:rPr>
          <w:b/>
        </w:rPr>
        <w:t>Gutachterliche Pruefung</w:t>
      </w:r>
      <w:r>
        <w:t xml:space="preserve"> im Mandat PE-2026-LIQ-0188</w:t>
      </w:r>
    </w:p>
    <w:p>
      <w:pPr>
        <w:jc w:val="left"/>
      </w:pPr>
      <w:r>
        <w:rPr>
          <w:b/>
        </w:rPr>
        <w:t>Berichterstatterin:</w:t>
      </w:r>
      <w:r>
        <w:t xml:space="preserve"> StB/RAin Dr. Cordula Pinneberg-Talheim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Stil:</w:t>
      </w:r>
      <w:r>
        <w:t xml:space="preserve"> Gutachtenstil</w:t>
      </w:r>
    </w:p>
    <w:p/>
    <w:p>
      <w:pPr>
        <w:pStyle w:val="Heading2"/>
      </w:pPr>
      <w:r>
        <w:rPr>
          <w:rFonts w:ascii="Times New Roman" w:hAnsi="Times New Roman"/>
        </w:rPr>
        <w:t>I. Frage</w:t>
      </w:r>
    </w:p>
    <w:p>
      <w:pPr>
        <w:jc w:val="left"/>
      </w:pPr>
      <w:r>
        <w:t xml:space="preserve">Ist die nachrangige Gesellschafterdarlehensforderung der Frau Helene Strassburger-Wittenburg gegen die Strassburger Handelshof GmbH i.L. über 2,4 Mio. EUR in der Steuerbilanz der GmbH zum </w:t>
      </w:r>
      <w:r>
        <w:rPr>
          <w:b/>
        </w:rPr>
        <w:t>15.04.2026</w:t>
      </w:r>
      <w:r>
        <w:t xml:space="preserve"> (bzw. zum nächsten regulären Bilanzstichtag) noch zu passivieren oder ist die Verbindlichkeit nach </w:t>
      </w:r>
      <w:r>
        <w:rPr>
          <w:b/>
        </w:rPr>
        <w:t>§ 5 Abs. 2a EStG</w:t>
      </w:r>
      <w:r>
        <w:t xml:space="preserve"> auszubuchen?</w:t>
      </w:r>
    </w:p>
    <w:p>
      <w:pPr>
        <w:pStyle w:val="Heading2"/>
      </w:pPr>
      <w:r>
        <w:rPr>
          <w:rFonts w:ascii="Times New Roman" w:hAnsi="Times New Roman"/>
        </w:rPr>
        <w:t>II. Kurzantwort</w:t>
      </w:r>
    </w:p>
    <w:p>
      <w:pPr>
        <w:jc w:val="left"/>
      </w:pPr>
      <w:r>
        <w:t xml:space="preserve">Die Verbindlichkeit ist </w:t>
      </w:r>
      <w:r>
        <w:rPr>
          <w:b/>
        </w:rPr>
        <w:t>weiterhin steuerbilanziell zu passivieren</w:t>
      </w:r>
      <w:r>
        <w:t xml:space="preserve">. § 5 Abs. 2a EStG greift im vorliegenden Fall </w:t>
      </w:r>
      <w:r>
        <w:rPr>
          <w:b/>
        </w:rPr>
        <w:t>nicht</w:t>
      </w:r>
      <w:r>
        <w:t xml:space="preserve">, weil der Rangrücktritt einen Tilgungsvorbehalt auch aus </w:t>
      </w:r>
      <w:r>
        <w:rPr>
          <w:i/>
        </w:rPr>
        <w:t>sonstigem freien Vermögen</w:t>
      </w:r>
      <w:r>
        <w:t xml:space="preserve"> enthält und damit nicht ausschliesslich an </w:t>
      </w:r>
      <w:r>
        <w:rPr>
          <w:i/>
        </w:rPr>
        <w:t>zukünftige Gewinne</w:t>
      </w:r>
      <w:r>
        <w:t xml:space="preserve"> anknüpft. Ein Sanierungsertrag aus der Ausbuchung der Verbindlichkeit entsteht in Folge </w:t>
      </w:r>
      <w:r>
        <w:rPr>
          <w:b/>
        </w:rPr>
        <w:t>nicht</w:t>
      </w:r>
      <w:r>
        <w:t xml:space="preserve"> allein wegen des Rangrücktritts.</w:t>
      </w:r>
    </w:p>
    <w:p>
      <w:pPr>
        <w:pStyle w:val="Heading2"/>
      </w:pPr>
      <w:r>
        <w:rPr>
          <w:rFonts w:ascii="Times New Roman" w:hAnsi="Times New Roman"/>
        </w:rPr>
        <w:t>III. Rechtliche Bewertung</w:t>
      </w:r>
    </w:p>
    <w:p>
      <w:pPr>
        <w:pStyle w:val="Heading3"/>
      </w:pPr>
      <w:r>
        <w:rPr>
          <w:rFonts w:ascii="Times New Roman" w:hAnsi="Times New Roman"/>
        </w:rPr>
        <w:t>1. Wortlaut der Norm</w:t>
      </w:r>
    </w:p>
    <w:p>
      <w:pPr>
        <w:jc w:val="left"/>
      </w:pPr>
      <w:r>
        <w:rPr>
          <w:b/>
        </w:rPr>
        <w:t>§ 5 Abs. 2a EStG:</w:t>
      </w:r>
    </w:p>
    <w:p>
      <w:pPr>
        <w:ind w:left="567"/>
      </w:pPr>
      <w:r>
        <w:rPr>
          <w:i/>
        </w:rPr>
        <w:t>"Für Verpflichtungen, die nur zu erfüllen sind, soweit künftige Einnahmen oder Gewinne anfallen, sind Verbindlichkeiten oder Rückstellungen erst anzusetzen, wenn die Einnahmen oder Gewinne angefallen sind."</w:t>
      </w:r>
    </w:p>
    <w:p>
      <w:pPr>
        <w:jc w:val="left"/>
      </w:pPr>
      <w:r>
        <w:t>Der Wortlaut verlangt zwei Merkmale:</w:t>
      </w:r>
    </w:p>
    <w:p>
      <w:pPr>
        <w:jc w:val="left"/>
      </w:pPr>
      <w:r>
        <w:t xml:space="preserve">(a) Die Verpflichtung muss "nur" zu erfüllen sein, soweit künftige Einnahmen oder Gewinne anfallen. Es muss also eine </w:t>
      </w:r>
      <w:r>
        <w:rPr>
          <w:b/>
        </w:rPr>
        <w:t>Ausschliesslichkeit</w:t>
      </w:r>
      <w:r>
        <w:t xml:space="preserve"> der Tilgungsquelle "künftige Gewinne" vorliegen.</w:t>
      </w:r>
    </w:p>
    <w:p>
      <w:pPr>
        <w:jc w:val="left"/>
      </w:pPr>
      <w:r>
        <w:t xml:space="preserve">(b) Solange diese künftigen Gewinne nicht anfallen, besteht ein </w:t>
      </w:r>
      <w:r>
        <w:rPr>
          <w:b/>
        </w:rPr>
        <w:t>Passivierungsverbot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2. Auslegung — staend. Rspr. BFH</w:t>
      </w:r>
    </w:p>
    <w:p>
      <w:pPr>
        <w:jc w:val="left"/>
      </w:pPr>
      <w:r>
        <w:t xml:space="preserve">Die Rechtsprechung des BFH zur Behandlung qualifizierter Rangrücktritte ist in der jetzt maszgebenden Form mit dem Urteil </w:t>
      </w:r>
      <w:r>
        <w:rPr>
          <w:b/>
        </w:rPr>
        <w:t>BFH, Urt. v. 19.08.2020 — XI R 32/18, BStBl. II 2021, 279</w:t>
      </w:r>
      <w:r>
        <w:t>, gefestigt:</w:t>
      </w:r>
    </w:p>
    <w:p>
      <w:pPr>
        <w:pStyle w:val="ListBullet"/>
      </w:pPr>
      <w:r>
        <w:t xml:space="preserve">Eine Verbindlichkeit, die </w:t>
      </w:r>
      <w:r>
        <w:rPr>
          <w:b/>
        </w:rPr>
        <w:t>ausschliesslich</w:t>
      </w:r>
      <w:r>
        <w:t xml:space="preserve"> aus </w:t>
      </w:r>
      <w:r>
        <w:rPr>
          <w:i/>
        </w:rPr>
        <w:t>künftigen Gewinnen</w:t>
      </w:r>
      <w:r>
        <w:t xml:space="preserve"> oder einem </w:t>
      </w:r>
      <w:r>
        <w:rPr>
          <w:i/>
        </w:rPr>
        <w:t>Liquidationsüberschuss</w:t>
      </w:r>
      <w:r>
        <w:t xml:space="preserve"> zu tilgen ist, fällt unter § 5 Abs. 2a EStG. Sie ist </w:t>
      </w:r>
      <w:r>
        <w:rPr>
          <w:b/>
        </w:rPr>
        <w:t>steuerlich nicht zu passivieren</w:t>
      </w:r>
      <w:r>
        <w:t>. Ein bereits zuvor bilanzierter Ausweis ist gewinnwirksam aufzulösen (Ertrag).</w:t>
      </w:r>
    </w:p>
    <w:p>
      <w:pPr>
        <w:pStyle w:val="ListBullet"/>
      </w:pPr>
      <w:r>
        <w:t xml:space="preserve">Eine Verbindlichkeit, die zusätzlich aus </w:t>
      </w:r>
      <w:r>
        <w:rPr>
          <w:i/>
        </w:rPr>
        <w:t>sonstigem freien Vermögen</w:t>
      </w:r>
      <w:r>
        <w:t xml:space="preserve"> der Schuldnerin tilgbar ist, fällt </w:t>
      </w:r>
      <w:r>
        <w:rPr>
          <w:b/>
        </w:rPr>
        <w:t>nicht</w:t>
      </w:r>
      <w:r>
        <w:t xml:space="preserve"> unter § 5 Abs. 2a EStG. Sie bleibt </w:t>
      </w:r>
      <w:r>
        <w:rPr>
          <w:b/>
        </w:rPr>
        <w:t>passiviert</w:t>
      </w:r>
      <w:r>
        <w:t>, weil die Tilgung nicht ausschliesslich an künftige Einnahmen anknüpft.</w:t>
      </w:r>
    </w:p>
    <w:p>
      <w:pPr>
        <w:jc w:val="left"/>
      </w:pPr>
      <w:r>
        <w:t>Diese Differenzierung wird in der Beraterpraxis als "</w:t>
      </w:r>
      <w:r>
        <w:rPr>
          <w:b/>
        </w:rPr>
        <w:t>Tilgungsvorbehalt aus freiem Vermögen</w:t>
      </w:r>
      <w:r>
        <w:t xml:space="preserve">" bezeichnet und ist die zentrale </w:t>
      </w:r>
      <w:r>
        <w:rPr>
          <w:b/>
        </w:rPr>
        <w:t>Gestaltungsleitlinie</w:t>
      </w:r>
      <w:r>
        <w:t xml:space="preserve"> in der Strukturierung qualifizierter Rangrücktritte.</w:t>
      </w:r>
    </w:p>
    <w:p>
      <w:pPr>
        <w:jc w:val="left"/>
      </w:pPr>
      <w:r>
        <w:t xml:space="preserve">Ergänzend ist die allgemeine Voraussetzung der Passivierung zu beachten: Nach </w:t>
      </w:r>
      <w:r>
        <w:rPr>
          <w:b/>
        </w:rPr>
        <w:t>BFH, Urt. v. 30.11.2011 — I R 100/10, DStR 2012, 450</w:t>
      </w:r>
      <w:r>
        <w:t xml:space="preserve">, ist eine Verbindlichkeit nur dann zu passivieren, wenn (i) ein bestimmter Verpflichtungsinhalt besteht, (ii) die Verbindlichkeit durchsetzbar ist und (iii) eine </w:t>
      </w:r>
      <w:r>
        <w:rPr>
          <w:b/>
        </w:rPr>
        <w:t>wirtschaftliche Belastung</w:t>
      </w:r>
      <w:r>
        <w:t xml:space="preserve"> der Schuldnerin gegeben ist. Fehlt die wirtschaftliche Belastung, ist die Verbindlichkeit gewinnwirksam aufzulösen — das ist die Stelle, an der das FA bei einem aussichtslosen Rangrücktritt einhaken kann.</w:t>
      </w:r>
    </w:p>
    <w:p>
      <w:pPr>
        <w:pStyle w:val="Heading3"/>
      </w:pPr>
      <w:r>
        <w:rPr>
          <w:rFonts w:ascii="Times New Roman" w:hAnsi="Times New Roman"/>
        </w:rPr>
        <w:t>3. Subsumtion</w:t>
      </w:r>
    </w:p>
    <w:p>
      <w:pPr>
        <w:jc w:val="left"/>
      </w:pPr>
      <w:r>
        <w:t>In der Änderungsvereinbarung Nr. SH-GD-2021-02 vom 14.03.2021 ist in § 2 Abs. 2 vereinbart:</w:t>
      </w:r>
    </w:p>
    <w:p>
      <w:pPr>
        <w:ind w:left="567"/>
      </w:pPr>
      <w:r>
        <w:rPr>
          <w:i/>
        </w:rPr>
        <w:t>"Die Darlehensgeberin kann Tilgungen und Zinsen nur verlangen aus</w:t>
      </w:r>
    </w:p>
    <w:p>
      <w:pPr>
        <w:ind w:left="567"/>
      </w:pPr>
      <w:r>
        <w:rPr>
          <w:i/>
        </w:rPr>
        <w:t xml:space="preserve">a) einem </w:t>
      </w:r>
      <w:r>
        <w:rPr>
          <w:b/>
          <w:i/>
        </w:rPr>
        <w:t>künftigen Bilanzgewinn</w:t>
      </w:r>
      <w:r>
        <w:rPr>
          <w:i/>
        </w:rPr>
        <w:t>;</w:t>
      </w:r>
    </w:p>
    <w:p>
      <w:pPr>
        <w:ind w:left="567"/>
      </w:pPr>
      <w:r>
        <w:rPr>
          <w:i/>
        </w:rPr>
        <w:t xml:space="preserve">b) einem </w:t>
      </w:r>
      <w:r>
        <w:rPr>
          <w:b/>
          <w:i/>
        </w:rPr>
        <w:t>künftigen Liquidationsüberschuss</w:t>
      </w:r>
      <w:r>
        <w:rPr>
          <w:i/>
        </w:rPr>
        <w:t>;</w:t>
      </w:r>
    </w:p>
    <w:p>
      <w:pPr>
        <w:ind w:left="567"/>
      </w:pPr>
      <w:r>
        <w:rPr>
          <w:i/>
        </w:rPr>
        <w:t xml:space="preserve">c) </w:t>
      </w:r>
      <w:r>
        <w:rPr>
          <w:b/>
          <w:i/>
        </w:rPr>
        <w:t>sonstigem freien Vermögen</w:t>
      </w:r>
      <w:r>
        <w:rPr>
          <w:i/>
        </w:rPr>
        <w:t>, das die Darlehensnehmerin nach Befriedigung aller anderen Gläubiger noch hat."</w:t>
      </w:r>
    </w:p>
    <w:p>
      <w:pPr>
        <w:jc w:val="left"/>
      </w:pPr>
      <w:r>
        <w:t xml:space="preserve">Damit ist die Tilgung nicht ausschliesslich an die Erzielung </w:t>
      </w:r>
      <w:r>
        <w:rPr>
          <w:i/>
        </w:rPr>
        <w:t>künftiger Gewinne</w:t>
      </w:r>
      <w:r>
        <w:t xml:space="preserve"> gebunden. Insbesondere kann sie auch aus </w:t>
      </w:r>
      <w:r>
        <w:rPr>
          <w:i/>
        </w:rPr>
        <w:t>sonstigem freien Vermögen</w:t>
      </w:r>
      <w:r>
        <w:t xml:space="preserve"> (lit. c) erfolgen. Dieses sonstige freie Vermögen umfasst gerade auch </w:t>
      </w:r>
      <w:r>
        <w:rPr>
          <w:i/>
        </w:rPr>
        <w:t>bereits vorhandene</w:t>
      </w:r>
      <w:r>
        <w:t xml:space="preserve"> freie Mittel — etwa Cashbestaende, die nach Befriedigung der anderen Gläubiger noch vorhanden sind.</w:t>
      </w:r>
    </w:p>
    <w:p>
      <w:pPr>
        <w:jc w:val="left"/>
      </w:pPr>
      <w:r>
        <w:t xml:space="preserve">Der vorliegende Rangrücktritt ist daher kein Rangrücktritt mit </w:t>
      </w:r>
      <w:r>
        <w:rPr>
          <w:i/>
        </w:rPr>
        <w:t>ausschliesslich gewinnabhaengiger</w:t>
      </w:r>
      <w:r>
        <w:t xml:space="preserve"> Tilgung; er enthält vielmehr einen </w:t>
      </w:r>
      <w:r>
        <w:rPr>
          <w:b/>
        </w:rPr>
        <w:t>Tilgungsvorbehalt aus freiem Vermögen</w:t>
      </w:r>
      <w:r>
        <w:t xml:space="preserve"> im engeren Sinn.</w:t>
      </w:r>
    </w:p>
    <w:p>
      <w:pPr>
        <w:jc w:val="left"/>
      </w:pPr>
      <w:r>
        <w:t xml:space="preserve">Das Tatbestandsmerkmal "nur zu erfüllen, soweit künftige Einnahmen oder Gewinne anfallen" ist </w:t>
      </w:r>
      <w:r>
        <w:rPr>
          <w:b/>
        </w:rPr>
        <w:t>nicht erfüllt</w:t>
      </w:r>
      <w:r>
        <w:t xml:space="preserve">. § 5 Abs. 2a EStG greift mithin </w:t>
      </w:r>
      <w:r>
        <w:rPr>
          <w:b/>
        </w:rPr>
        <w:t>nicht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4. Zwischenergebnis</w:t>
      </w:r>
    </w:p>
    <w:p>
      <w:pPr>
        <w:jc w:val="left"/>
      </w:pPr>
      <w:r>
        <w:t xml:space="preserve">Die Verbindlichkeit ist steuerbilanziell zu passivieren. Sie ist nicht nach § 5 Abs. 2a EStG auszubuchen. Ein automatischer Sanierungsertrag entsteht in der Liquidations-Eröffnungsbilanz </w:t>
      </w:r>
      <w:r>
        <w:rPr>
          <w:b/>
        </w:rPr>
        <w:t>nicht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IV. Folgeprüfungen</w:t>
      </w:r>
    </w:p>
    <w:p>
      <w:pPr>
        <w:pStyle w:val="Heading3"/>
      </w:pPr>
      <w:r>
        <w:rPr>
          <w:rFonts w:ascii="Times New Roman" w:hAnsi="Times New Roman"/>
        </w:rPr>
        <w:t>1. Ist die Verbindlichkeit mit Liquidationsbeschluss als "uneinbringlich" auszubuchen?</w:t>
      </w:r>
    </w:p>
    <w:p>
      <w:pPr>
        <w:jc w:val="left"/>
      </w:pPr>
      <w:r>
        <w:t xml:space="preserve">Nach </w:t>
      </w:r>
      <w:r>
        <w:rPr>
          <w:b/>
        </w:rPr>
        <w:t>BFH, Urt. v. 26.02.2003 — II R 19/01</w:t>
      </w:r>
      <w:r>
        <w:t xml:space="preserve"> (Aktenstück 07) gehen Verbindlichkeiten nicht allein durch die Auflösung oder gar die Vermögenslosigkeit der Schuldnerin unter. Eine zwangsweise Ausbuchung ist nicht geboten.</w:t>
      </w:r>
    </w:p>
    <w:p>
      <w:pPr>
        <w:jc w:val="left"/>
      </w:pPr>
      <w:r>
        <w:t xml:space="preserve">Die OFD Frankfurt a. M. hat zudem in einer Verfügung ausdrücklich klargestellt, dass der </w:t>
      </w:r>
      <w:r>
        <w:rPr>
          <w:b/>
        </w:rPr>
        <w:t>blosse Liquidationsbeschluss kein konkludenter Forderungsverzicht</w:t>
      </w:r>
      <w:r>
        <w:t xml:space="preserve"> der Gesellschafterin ist. Auch insoweit besteht kein Anlass zur Ausbuchung.</w:t>
      </w:r>
    </w:p>
    <w:p>
      <w:pPr>
        <w:pStyle w:val="Heading3"/>
      </w:pPr>
      <w:r>
        <w:rPr>
          <w:rFonts w:ascii="Times New Roman" w:hAnsi="Times New Roman"/>
        </w:rPr>
        <w:t>2. Kommt eine teleologische Reduktion in Frage?</w:t>
      </w:r>
    </w:p>
    <w:p>
      <w:pPr>
        <w:jc w:val="left"/>
      </w:pPr>
      <w:r>
        <w:t>Eine teleologische Reduktion der bilanzrechtlichen Passivierungspflicht in der Liquidationsphase liegt fern: Der Gläubigerschutz steht hier nicht entgegen (Gläubigerin ist die Gesellschafterin selbst); die Mittel zur Tilgung — wenn auch nachrangig — können aus dem Liquidationsüberschuss oder aus etwaigem nach der Liquidation verbliebenem freien Vermögen kommen. Eine zwingende Ausbuchung wäre künstlich.</w:t>
      </w:r>
    </w:p>
    <w:p>
      <w:pPr>
        <w:pStyle w:val="Heading3"/>
      </w:pPr>
      <w:r>
        <w:rPr>
          <w:rFonts w:ascii="Times New Roman" w:hAnsi="Times New Roman"/>
        </w:rPr>
        <w:t>3. Was, wenn die Verbindlichkeit im Verlaufe der Liquidation tatsächlich erlischt?</w:t>
      </w:r>
    </w:p>
    <w:p>
      <w:pPr>
        <w:jc w:val="left"/>
      </w:pPr>
      <w:r>
        <w:t>Eine Ausbuchung — und mit ihr ein steuerlicher Ertrag — entsteht dann, wenn:</w:t>
      </w:r>
    </w:p>
    <w:p>
      <w:pPr>
        <w:jc w:val="left"/>
      </w:pPr>
      <w:r>
        <w:t xml:space="preserve">(a) die Gläubigerin </w:t>
      </w:r>
      <w:r>
        <w:rPr>
          <w:b/>
        </w:rPr>
        <w:t>ausdrücklich verzichtet</w:t>
      </w:r>
      <w:r>
        <w:t xml:space="preserve"> (Szenario C, Aktenstück 10) oder</w:t>
      </w:r>
    </w:p>
    <w:p>
      <w:pPr>
        <w:jc w:val="left"/>
      </w:pPr>
      <w:r>
        <w:t xml:space="preserve">(b) das Steuersubjekt selbst </w:t>
      </w:r>
      <w:r>
        <w:rPr>
          <w:b/>
        </w:rPr>
        <w:t>erlischt</w:t>
      </w:r>
      <w:r>
        <w:t xml:space="preserve"> (mit Löschung im HR — vgl. Aktenstück 15) oder</w:t>
      </w:r>
    </w:p>
    <w:p>
      <w:pPr>
        <w:jc w:val="left"/>
      </w:pPr>
      <w:r>
        <w:t>(c) ein Wegfall der Geschäftsgrundlage / Endgültigkeit der Nichttilgbarkeit anders rechtssicher festgestellt wird.</w:t>
      </w:r>
    </w:p>
    <w:p>
      <w:pPr>
        <w:jc w:val="left"/>
      </w:pPr>
      <w:r>
        <w:t>Nur in Fall (a) ist mit Sicherheit ein steuerpflichtiger Ertrag innerhalb des Lebenszyklus der GmbH realisiert. In Fall (b) entsteht zwar dogmatisch ein Ertrag, aber kein Steuersubjekt mehr — siehe Aktenstücke 08, 15, 16 (FG Koeln, Urt. v. 06.03.2012 — 13 K 3006/11). Fall (c) liegt nicht vor; das Darlehen ist nicht "endgültig nicht mehr ruecktilgbar" — die Darlehensgeberin könnte aus einem etwaigen verbleibenden freien Vermögen befriedigt werden.</w:t>
      </w:r>
    </w:p>
    <w:p>
      <w:pPr>
        <w:pStyle w:val="Heading2"/>
      </w:pPr>
      <w:r>
        <w:rPr>
          <w:rFonts w:ascii="Times New Roman" w:hAnsi="Times New Roman"/>
        </w:rPr>
        <w:t>V. Ergebnis</w:t>
      </w:r>
    </w:p>
    <w:p>
      <w:pPr>
        <w:jc w:val="left"/>
      </w:pPr>
      <w:r>
        <w:t xml:space="preserve">Die Verbindlichkeit über 2,4 Mio. EUR ist in der Steuerbilanz der Strassburger Handelshof GmbH i.L. zum 15.04.2026 (und in den Folgebilanzen bis zur Löschung) </w:t>
      </w:r>
      <w:r>
        <w:rPr>
          <w:b/>
        </w:rPr>
        <w:t>weiterhin zu passivieren</w:t>
      </w:r>
      <w:r>
        <w:t xml:space="preserve">. § 5 Abs. 2a EStG ist nicht einschlägig. Ein steuerlicher Sanierungsertrag entsteht aus dem Rangrücktritt heraus </w:t>
      </w:r>
      <w:r>
        <w:rPr>
          <w:b/>
        </w:rPr>
        <w:t>nicht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VI. Praktische Konsequenz für die Beratung</w:t>
      </w:r>
    </w:p>
    <w:p>
      <w:pPr>
        <w:pStyle w:val="ListNumber"/>
      </w:pPr>
      <w:r>
        <w:rPr>
          <w:b/>
        </w:rPr>
        <w:t>Bilanzielle Behandlung</w:t>
      </w:r>
      <w:r>
        <w:t>: Die Liquidations-Eröffnungsbilanz weist das Darlehen wie bisher unter den Verbindlichkeiten aus.</w:t>
      </w:r>
    </w:p>
    <w:p>
      <w:pPr>
        <w:pStyle w:val="ListNumber"/>
      </w:pPr>
      <w:r>
        <w:rPr>
          <w:b/>
        </w:rPr>
        <w:t>Steuererklaerung</w:t>
      </w:r>
      <w:r>
        <w:t>: KSt-Erklärung 2026 erfasst keinen Sanierungsertrag aus dem Darlehen.</w:t>
      </w:r>
    </w:p>
    <w:p>
      <w:pPr>
        <w:pStyle w:val="ListNumber"/>
      </w:pPr>
      <w:r>
        <w:rPr>
          <w:b/>
        </w:rPr>
        <w:t>Risiko</w:t>
      </w:r>
      <w:r>
        <w:t xml:space="preserve">: Falls das FA Berlin-Charlottenburg in der Veranlagung eine andere Auffassung vertritt — insbesondere wenn es den Tilgungsvorbehalt lit. c als bloss formal-deklaratorisch behandelt und das Darlehen wirtschaftlich als "nur aus zukünftigen Gewinnen" tilgbar einstuft — entstehen Streitfragen. Daher: </w:t>
      </w:r>
      <w:r>
        <w:rPr>
          <w:b/>
        </w:rPr>
        <w:t>verbindliche Auskunft</w:t>
      </w:r>
      <w:r>
        <w:t xml:space="preserve"> beantragt (Aktenstück 13).</w:t>
      </w:r>
    </w:p>
    <w:p>
      <w:pPr>
        <w:pStyle w:val="ListNumber"/>
      </w:pPr>
      <w:r>
        <w:rPr>
          <w:b/>
        </w:rPr>
        <w:t>Hilfsweise</w:t>
      </w:r>
      <w:r>
        <w:t xml:space="preserve">: Falls das FA dennoch auf Ausbuchung dringt, ist § 3a EStG zu prüfen (Aktenstück 11). Bei einer reinen Liquidation droht jedoch, dass die Sanierungseignung iSv § 3a EStG </w:t>
      </w:r>
      <w:r>
        <w:rPr>
          <w:b/>
        </w:rPr>
        <w:t>nicht</w:t>
      </w:r>
      <w:r>
        <w:t xml:space="preserve"> anerkannt wird. Dann wäre der Ertrag voll steuerpflichtig — Steuerbelastung bei KSt 15 % + SolZ + GewSt rund 30 % auf 2,4 Mio. EUR = ca. 720.000 EUR. </w:t>
      </w:r>
      <w:r>
        <w:rPr>
          <w:b/>
        </w:rPr>
        <w:t>Dieses Risiko ist mit der Mandantin offen zu thematisieren.</w:t>
      </w:r>
    </w:p>
    <w:p>
      <w:pPr>
        <w:pStyle w:val="Heading2"/>
      </w:pPr>
      <w:r>
        <w:rPr>
          <w:rFonts w:ascii="Times New Roman" w:hAnsi="Times New Roman"/>
        </w:rPr>
        <w:t>VII. Gegenprüfung (Sicherheitscheck)</w:t>
      </w:r>
    </w:p>
    <w:p>
      <w:pPr>
        <w:pStyle w:val="ListBullet"/>
      </w:pPr>
      <w:r>
        <w:rPr>
          <w:b/>
        </w:rPr>
        <w:t>Anders zu beurteilen wäre</w:t>
      </w:r>
      <w:r>
        <w:t>, wenn der Tilgungsvorbehalt nur "Bilanzgewinn und Liquidationsüberschuss" enthielte, ohne lit. c. Dann wäre § 5 Abs. 2a EStG einschlägig.</w:t>
      </w:r>
    </w:p>
    <w:p>
      <w:pPr>
        <w:pStyle w:val="ListBullet"/>
      </w:pPr>
      <w:r>
        <w:rPr>
          <w:b/>
        </w:rPr>
        <w:t>Anders zu beurteilen wäre ebenfalls</w:t>
      </w:r>
      <w:r>
        <w:t xml:space="preserve">, wenn lit. c vom FA als rein formelle, leerlaufende Klausel angesehen wird, weil eine Tilgung aus </w:t>
      </w:r>
      <w:r>
        <w:rPr>
          <w:i/>
        </w:rPr>
        <w:t>sonstigem freien Vermögen</w:t>
      </w:r>
      <w:r>
        <w:t xml:space="preserve"> nach Befriedigung aller anderen Gläubiger und dem Stammkapital nur noch theoretisch denkbar sei. Hier ist eine Wertung erforderlich; eine eindeutige höchstrichterliche Linie zur "Leerlauf-These" liegt bislang nicht vor.</w:t>
      </w:r>
    </w:p>
    <w:p>
      <w:pPr>
        <w:pStyle w:val="Heading2"/>
      </w:pPr>
      <w:r>
        <w:rPr>
          <w:rFonts w:ascii="Times New Roman" w:hAnsi="Times New Roman"/>
        </w:rPr>
        <w:t>VIII. Quellen</w:t>
      </w:r>
    </w:p>
    <w:p>
      <w:pPr>
        <w:pStyle w:val="Heading3"/>
      </w:pPr>
      <w:r>
        <w:rPr>
          <w:rFonts w:ascii="Times New Roman" w:hAnsi="Times New Roman"/>
        </w:rPr>
        <w:t>Normen</w:t>
      </w:r>
    </w:p>
    <w:p>
      <w:pPr>
        <w:pStyle w:val="ListBullet"/>
      </w:pPr>
      <w:r>
        <w:rPr>
          <w:b/>
        </w:rPr>
        <w:t>§ 5 Abs. 2a EStG</w:t>
      </w:r>
      <w:r>
        <w:t xml:space="preserve"> (Wortlaut, geltendes Recht).</w:t>
      </w:r>
    </w:p>
    <w:p>
      <w:pPr>
        <w:pStyle w:val="ListBullet"/>
      </w:pPr>
      <w:r>
        <w:t>§ 6 Abs. 1 Nr. 3 EStG i.V.m. § 12 Abs. 1 BewG (Nennwertbewertung).</w:t>
      </w:r>
    </w:p>
    <w:p>
      <w:pPr>
        <w:pStyle w:val="ListBullet"/>
      </w:pPr>
      <w:r>
        <w:t>§ 11 KStG (Liquidationsbesteuerung).</w:t>
      </w:r>
    </w:p>
    <w:p>
      <w:pPr>
        <w:pStyle w:val="Heading3"/>
      </w:pPr>
      <w:r>
        <w:rPr>
          <w:rFonts w:ascii="Times New Roman" w:hAnsi="Times New Roman"/>
        </w:rPr>
        <w:t>Rechtsprechung (verifiziert)</w:t>
      </w:r>
    </w:p>
    <w:p>
      <w:pPr>
        <w:pStyle w:val="ListBullet"/>
      </w:pPr>
      <w:r>
        <w:rPr>
          <w:b/>
        </w:rPr>
        <w:t>BFH, Urt. v. 19.08.2020 — XI R 32/18, BStBl. II 2021, 279</w:t>
      </w:r>
      <w:r>
        <w:t xml:space="preserve"> — Kernentscheidung zu § 5 Abs. 2a EStG bei Rangrücktritt mit Tilgungsvorbehalt aus zukünftigen Gewinnen.</w:t>
      </w:r>
    </w:p>
    <w:p>
      <w:pPr>
        <w:pStyle w:val="ListBullet"/>
      </w:pPr>
      <w:r>
        <w:rPr>
          <w:b/>
        </w:rPr>
        <w:t>BFH, Urt. v. 30.11.2011 — I R 100/10, DStR 2012, 450</w:t>
      </w:r>
      <w:r>
        <w:t xml:space="preserve"> — Voraussetzungen der Passivierung (wirtschaftliche Belastung).</w:t>
      </w:r>
    </w:p>
    <w:p>
      <w:pPr>
        <w:pStyle w:val="ListBullet"/>
      </w:pPr>
      <w:r>
        <w:rPr>
          <w:b/>
        </w:rPr>
        <w:t>BFH, Urt. v. 26.02.2003 — II R 19/01</w:t>
      </w:r>
      <w:r>
        <w:t>, BFHE 201, 446; BStBl. II 2003, 502 (Aktenstück 07).</w:t>
      </w:r>
    </w:p>
    <w:p>
      <w:pPr>
        <w:pStyle w:val="ListBullet"/>
      </w:pPr>
      <w:r>
        <w:rPr>
          <w:b/>
        </w:rPr>
        <w:t>FG Koeln, Urt. v. 06.03.2012 — 13 K 3006/11, GmbHR 2012, 977</w:t>
      </w:r>
      <w:r>
        <w:t xml:space="preserve"> (Aktenstück 16).</w:t>
      </w:r>
    </w:p>
    <w:p>
      <w:pPr>
        <w:pStyle w:val="ListBullet"/>
      </w:pPr>
      <w:r>
        <w:rPr>
          <w:b/>
        </w:rPr>
        <w:t>BFH, Beschl. v. 05.02.2014 — I R 34/12, BFH/NV 2014, 1014</w:t>
      </w:r>
      <w:r>
        <w:t xml:space="preserve"> — nachgehend zu FG Koeln 13 K 3006/11; Streitstand „nicht evident rechtsfehlerhaft".</w:t>
      </w:r>
    </w:p>
    <w:p>
      <w:pPr>
        <w:pStyle w:val="ListBullet"/>
      </w:pPr>
      <w:r>
        <w:rPr>
          <w:b/>
        </w:rPr>
        <w:t>BFH, Urt. v. 16.05.2015 — IX R 28/14, BFH/NV 2015, 1679</w:t>
      </w:r>
      <w:r>
        <w:t xml:space="preserve"> — umgekehrter Fall: Forderung der Gesellschaft gegen Gesellschafter.</w:t>
      </w:r>
    </w:p>
    <w:p>
      <w:pPr>
        <w:pStyle w:val="ListBullet"/>
      </w:pPr>
      <w:r>
        <w:rPr>
          <w:b/>
        </w:rPr>
        <w:t>FG Münster, Urt. v. 23.07.2020 — 10 K 2222/19, DStRE 2021, 264</w:t>
      </w:r>
      <w:r>
        <w:t xml:space="preserve"> — Streitfrage diskussionswuerdig.</w:t>
      </w:r>
    </w:p>
    <w:p>
      <w:pPr>
        <w:pStyle w:val="Heading3"/>
      </w:pPr>
      <w:r>
        <w:rPr>
          <w:rFonts w:ascii="Times New Roman" w:hAnsi="Times New Roman"/>
        </w:rPr>
        <w:t>Verwaltungsauffassung</w:t>
      </w:r>
    </w:p>
    <w:p>
      <w:pPr>
        <w:pStyle w:val="ListBullet"/>
      </w:pPr>
      <w:r>
        <w:rPr>
          <w:b/>
        </w:rPr>
        <w:t>OFD Frankfurt a. M., Rundverfügung v. 26.07.2021 — S 2743 A-12-St 523, Originalquelle oder frei pruefbare Quelle vor Ausgabe pruefen</w:t>
      </w:r>
      <w:r>
        <w:t xml:space="preserve"> — ertragsteuerliche Beurteilung der Darlehensverbindlichkeiten im Abwicklungsendvermögen; Tz. 1.2-1.4.</w:t>
      </w:r>
    </w:p>
    <w:p>
      <w:pPr>
        <w:pStyle w:val="ListBullet"/>
      </w:pPr>
      <w:r>
        <w:rPr>
          <w:b/>
        </w:rPr>
        <w:t>OFD Frankfurt a. M., Rundverfügung v. 03.08.2018 — S 2743 A-12-St 525, DStR 2019, 560</w:t>
      </w:r>
      <w:r>
        <w:t xml:space="preserve"> — Vorgängerverfügung.</w:t>
      </w:r>
    </w:p>
    <w:p>
      <w:pPr>
        <w:pStyle w:val="Heading3"/>
      </w:pPr>
      <w:r>
        <w:rPr>
          <w:rFonts w:ascii="Times New Roman" w:hAnsi="Times New Roman"/>
        </w:rPr>
        <w:t>Literatur (gegen gewinnerhoehende Ausbuchung — herrschende Linie)</w:t>
      </w:r>
    </w:p>
    <w:p>
      <w:pPr>
        <w:pStyle w:val="ListBullet"/>
      </w:pPr>
      <w:r>
        <w:t>Bergmann, Liquidationsbesteuerung von Kapitalgesellschaften, Diss., 2012, S. 145 ff.</w:t>
      </w:r>
    </w:p>
    <w:p>
      <w:pPr>
        <w:pStyle w:val="ListBullet"/>
      </w:pPr>
      <w:r>
        <w:t>Dietrich/Weber, DStR 2019, 966, 970.</w:t>
      </w:r>
    </w:p>
    <w:p>
      <w:pPr>
        <w:pStyle w:val="ListBullet"/>
      </w:pPr>
      <w:r>
        <w:t>Hageboeke, in: Roedder/Herlinghaus/Neumann, KStG, 1. Aufl. 2015, § 11 Rn. 78.</w:t>
      </w:r>
    </w:p>
    <w:p>
      <w:pPr>
        <w:pStyle w:val="ListBullet"/>
      </w:pPr>
      <w:r>
        <w:t>Maschlanka, in: Heyd/Kautenburger-Behr/Wind, Bilanzierung und Besteuerung in Krise und Insolvenz, 2019, Rn. 1023.</w:t>
      </w:r>
    </w:p>
    <w:p>
      <w:pPr>
        <w:pStyle w:val="ListBullet"/>
      </w:pPr>
      <w:r>
        <w:t>Mayer/Betzinger, DStR 2014, 1573.</w:t>
      </w:r>
    </w:p>
    <w:p>
      <w:pPr>
        <w:pStyle w:val="ListBullet"/>
      </w:pPr>
      <w:r>
        <w:t>Stalbold, in: Gosch, KStG, § 11 Rn. 72.</w:t>
      </w:r>
    </w:p>
    <w:p>
      <w:pPr>
        <w:pStyle w:val="ListBullet"/>
      </w:pPr>
      <w:r>
        <w:t>Micker, in: Herrmann/Heuer/Raupach, EStG/KStG, § 11 KStG Rn. 44.</w:t>
      </w:r>
    </w:p>
    <w:p>
      <w:pPr>
        <w:pStyle w:val="Heading3"/>
      </w:pPr>
      <w:r>
        <w:rPr>
          <w:rFonts w:ascii="Times New Roman" w:hAnsi="Times New Roman"/>
        </w:rPr>
        <w:t>Literatur (Gegenposition)</w:t>
      </w:r>
    </w:p>
    <w:p>
      <w:pPr>
        <w:pStyle w:val="ListBullet"/>
      </w:pPr>
      <w:r>
        <w:t>S. Neumann, in: Blumenberg/Neumann, Ubg 2016, 256, 257 f.</w:t>
      </w:r>
    </w:p>
    <w:p>
      <w:pPr>
        <w:pStyle w:val="ListBullet"/>
      </w:pPr>
      <w:r>
        <w:t>Brinkmann, StBp 2021, 246, 250.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