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14 — § 17 EStG Auflösungsverlust auf Gesellschafterebene</w:t>
      </w:r>
    </w:p>
    <w:p>
      <w:pPr>
        <w:jc w:val="left"/>
      </w:pPr>
      <w:r>
        <w:rPr>
          <w:b/>
        </w:rPr>
        <w:t>Verfasser:</w:t>
      </w:r>
      <w:r>
        <w:t xml:space="preserve"> Walter Engelmeier, Steuerberater.</w:t>
      </w:r>
    </w:p>
    <w:p>
      <w:pPr>
        <w:jc w:val="left"/>
      </w:pPr>
      <w:r>
        <w:rPr>
          <w:b/>
        </w:rPr>
        <w:t>Stand:</w:t>
      </w:r>
      <w:r>
        <w:t xml:space="preserve"> 30.04.2026.</w:t>
      </w:r>
    </w:p>
    <w:p>
      <w:pPr>
        <w:jc w:val="left"/>
      </w:pPr>
      <w:r>
        <w:rPr>
          <w:b/>
        </w:rPr>
        <w:t>Adressat:</w:t>
      </w:r>
      <w:r>
        <w:t xml:space="preserve"> Helene Strassburger-Wittenburg (Alleingesellschafterin und Liquidatorin).</w:t>
      </w:r>
    </w:p>
    <w:p>
      <w:pPr>
        <w:jc w:val="left"/>
      </w:pPr>
      <w:r>
        <w:rPr>
          <w:b/>
        </w:rPr>
        <w:t>Zweck:</w:t>
      </w:r>
      <w:r>
        <w:t xml:space="preserve"> Spiegelung der GmbH-Liquidations-Vorgänge auf der Privatebene Strassburger.</w:t>
      </w:r>
    </w:p>
    <w:p/>
    <w:p>
      <w:pPr>
        <w:pStyle w:val="Heading2"/>
      </w:pPr>
      <w:r>
        <w:rPr>
          <w:rFonts w:ascii="Times New Roman" w:hAnsi="Times New Roman"/>
        </w:rPr>
        <w:t>1. Rechtsgrundlage</w:t>
      </w:r>
    </w:p>
    <w:p>
      <w:pPr>
        <w:jc w:val="left"/>
      </w:pPr>
      <w:r>
        <w:t>§ 17 Abs. 1 EStG: Steuerpflicht der Veräußerungsgewinne aus Beteiligungen ≥ 1 Prozent (im Zeitraum von fünf Jahren). § 17 Abs. 4 Satz 1 EStG: Auflösung einer Kapitalgesellschaft gilt als Veräußerung.</w:t>
      </w:r>
    </w:p>
    <w:p>
      <w:pPr>
        <w:pStyle w:val="Heading2"/>
      </w:pPr>
      <w:r>
        <w:rPr>
          <w:rFonts w:ascii="Times New Roman" w:hAnsi="Times New Roman"/>
        </w:rPr>
        <w:t>2. Berechnung Auflösungsverlust</w:t>
      </w:r>
    </w:p>
    <w:p>
      <w:pPr>
        <w:jc w:val="left"/>
      </w:pPr>
      <w:r>
        <w:t>Strassburger ist Alleingesellschafterin (100 Prozent) der Strassburger Handelshof GmbH. Stammkapital 25.000 EUR (in 1998 bei Gründung voll eingezahlt).</w:t>
      </w:r>
    </w:p>
    <w:p>
      <w:pPr>
        <w:jc w:val="left"/>
      </w:pPr>
      <w:r>
        <w:rPr>
          <w:b/>
        </w:rPr>
        <w:t>Nachträgliche Anschaffungskosten — § 17 Abs. 2a EStG:</w:t>
      </w:r>
    </w:p>
    <w:p>
      <w:pPr>
        <w:jc w:val="left"/>
      </w:pPr>
      <w:r>
        <w:t>Das nachrangige Gesellschafterdarlehen über 2,4 Mio. EUR mit qualifiziertem Rangrücktritt stellt unter Voraussetzungen nachträgliche Anschaffungskosten dar. Maßgeblich ist:</w:t>
      </w:r>
    </w:p>
    <w:p>
      <w:pPr>
        <w:pStyle w:val="ListBullet"/>
      </w:pPr>
      <w:r>
        <w:rPr>
          <w:b/>
        </w:rPr>
        <w:t>BFH-Rechtsprechung zur „Krise":</w:t>
      </w:r>
      <w:r>
        <w:t xml:space="preserve"> Darlehen muss in der „Krise" hingegeben oder „stehengelassen" worden sein.</w:t>
      </w:r>
    </w:p>
    <w:p>
      <w:pPr>
        <w:pStyle w:val="ListBullet"/>
      </w:pPr>
      <w:r>
        <w:rPr>
          <w:b/>
        </w:rPr>
        <w:t>§ 17 Abs. 2a EStG-Reform 2019:</w:t>
      </w:r>
      <w:r>
        <w:t xml:space="preserve"> Gesetzliche Regelung der nachträglichen Anschaffungskosten nach Wegfall des Eigenkapitalersatzrechts.</w:t>
      </w:r>
    </w:p>
    <w:p>
      <w:pPr>
        <w:pStyle w:val="ListBullet"/>
      </w:pPr>
      <w:r>
        <w:rPr>
          <w:b/>
        </w:rPr>
        <w:t>Rangrücktritt:</w:t>
      </w:r>
      <w:r>
        <w:t xml:space="preserve"> Wirkt einer Forderungsbeibehaltung in der Krise — Wertloss am Darlehen ist damit der Gesellschafterin als nachträgliche Anschaffungskosten zuzurechnen, wenn das Darlehen mit der Liquidation untergeht.</w:t>
      </w:r>
    </w:p>
    <w:p>
      <w:pPr>
        <w:jc w:val="left"/>
      </w:pPr>
      <w:r>
        <w:rPr>
          <w:b/>
        </w:rPr>
        <w:t>Berechnung (Erwartung):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Anschaffungskosten Stammkapital (1998)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25.000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Nachträgliche Anschaffungskosten Rangrücktritts-Darlehen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2.400.000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Auflösungs-Veräußerungserlös (Verteilung aus Cash-Rest, voraussichtlich)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Auflösungsverlust § 17 Abs. 4 EStG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-2.425.000 EUR</w:t>
            </w:r>
          </w:p>
        </w:tc>
      </w:tr>
    </w:tbl>
    <w:p>
      <w:pPr>
        <w:jc w:val="left"/>
      </w:pPr>
      <w:r>
        <w:rPr>
          <w:b/>
        </w:rPr>
        <w:t>Teileinkünfteverfahren § 3 Nr. 40c EStG / § 3c EStG:</w:t>
      </w:r>
    </w:p>
    <w:p>
      <w:pPr>
        <w:pStyle w:val="ListBullet"/>
      </w:pPr>
      <w:r>
        <w:t xml:space="preserve">Der Auflösungsverlust ist im </w:t>
      </w:r>
      <w:r>
        <w:rPr>
          <w:b/>
        </w:rPr>
        <w:t>Teileinkünfteverfahren</w:t>
      </w:r>
      <w:r>
        <w:t xml:space="preserve"> zu 60 Prozent steuerlich anzusetzen — d. h. abzugsfähiger Verlust 1.455.000 EUR.</w:t>
      </w:r>
    </w:p>
    <w:p>
      <w:pPr>
        <w:pStyle w:val="ListBullet"/>
      </w:pPr>
      <w:r>
        <w:t>Anwendung § 3c Abs. 2 EStG.</w:t>
      </w:r>
    </w:p>
    <w:p>
      <w:pPr>
        <w:pStyle w:val="Heading2"/>
      </w:pPr>
      <w:r>
        <w:rPr>
          <w:rFonts w:ascii="Times New Roman" w:hAnsi="Times New Roman"/>
        </w:rPr>
        <w:t>3. Verlustverwertung</w:t>
      </w:r>
    </w:p>
    <w:p>
      <w:pPr>
        <w:jc w:val="left"/>
      </w:pPr>
      <w:r>
        <w:t>Der Verlust 1.455.000 EUR kann</w:t>
      </w:r>
    </w:p>
    <w:p>
      <w:pPr>
        <w:pStyle w:val="ListBullet"/>
      </w:pPr>
      <w:r>
        <w:t>mit anderen positiven Einkünften des Veranlagungszeitraums verrechnet werden (horizontaler und vertikaler Verlustausgleich, soweit zulässig);</w:t>
      </w:r>
    </w:p>
    <w:p>
      <w:pPr>
        <w:pStyle w:val="ListBullet"/>
      </w:pPr>
      <w:r>
        <w:t>als Verlustvortrag § 10d EStG genutzt werden;</w:t>
      </w:r>
    </w:p>
    <w:p>
      <w:pPr>
        <w:pStyle w:val="ListBullet"/>
      </w:pPr>
      <w:r>
        <w:t>ggf. zurückgetragen § 10d Abs. 1 EStG (Mindestbesteuerungs-Schwellen beachten).</w:t>
      </w:r>
    </w:p>
    <w:p>
      <w:pPr>
        <w:pStyle w:val="Heading2"/>
      </w:pPr>
      <w:r>
        <w:rPr>
          <w:rFonts w:ascii="Times New Roman" w:hAnsi="Times New Roman"/>
        </w:rPr>
        <w:t>4. Zeitliche Verortung</w:t>
      </w:r>
    </w:p>
    <w:p>
      <w:pPr>
        <w:jc w:val="left"/>
      </w:pPr>
      <w:r>
        <w:t xml:space="preserve">Der Auflösungsverlust ist regelmäßig dann zu erfassen, wenn der </w:t>
      </w:r>
      <w:r>
        <w:rPr>
          <w:b/>
        </w:rPr>
        <w:t>Verlust feststeht</w:t>
      </w:r>
      <w:r>
        <w:t xml:space="preserve"> — d. h.:</w:t>
      </w:r>
    </w:p>
    <w:p>
      <w:pPr>
        <w:pStyle w:val="ListBullet"/>
      </w:pPr>
      <w:r>
        <w:t>nach Abschluss der Liquidation (Liquidationsschlussbilanz),</w:t>
      </w:r>
    </w:p>
    <w:p>
      <w:pPr>
        <w:pStyle w:val="ListBullet"/>
      </w:pPr>
      <w:r>
        <w:t>ggf. schon vor Löschung im Handelsregister, wenn nach Aktenlage feststeht, dass kein Verteilungsbetrag mehr erwartet wird.</w:t>
      </w:r>
    </w:p>
    <w:p>
      <w:pPr>
        <w:jc w:val="left"/>
      </w:pPr>
      <w:r>
        <w:t xml:space="preserve">Praxis: Realisierung des Auflösungsverlusts im </w:t>
      </w:r>
      <w:r>
        <w:rPr>
          <w:b/>
        </w:rPr>
        <w:t>Veranlagungszeitraum 2027</w:t>
      </w:r>
      <w:r>
        <w:t xml:space="preserve"> (nach Sperrjahr-Ende, vor oder mit Löschung im Handelsregister) wahrscheinlich. Bei restriktiver Auslegung kann das FA „erst nach tatsächlicher Löschung" verlangen — Streit mit FA möglich.</w:t>
      </w:r>
    </w:p>
    <w:p>
      <w:pPr>
        <w:pStyle w:val="Heading2"/>
      </w:pPr>
      <w:r>
        <w:rPr>
          <w:rFonts w:ascii="Times New Roman" w:hAnsi="Times New Roman"/>
        </w:rPr>
        <w:t>5. Wechselwirkung zur Liquidations-Bilanz der GmbH</w:t>
      </w:r>
    </w:p>
    <w:p>
      <w:pPr>
        <w:jc w:val="left"/>
      </w:pPr>
      <w:r>
        <w:t xml:space="preserve">Wichtig: Die Frage „bleibt das Darlehen auf Gesellschaftsebene bis zur Löschung passiviert?" und die Frage „nachträgliche Anschaffungskosten auf Gesellschafterebene?" sind </w:t>
      </w:r>
      <w:r>
        <w:rPr>
          <w:b/>
        </w:rPr>
        <w:t>getrennte</w:t>
      </w:r>
      <w:r>
        <w:t xml:space="preserve"> Fragen.</w:t>
      </w:r>
    </w:p>
    <w:p>
      <w:pPr>
        <w:pStyle w:val="ListBullet"/>
      </w:pPr>
      <w:r>
        <w:t>Selbst wenn die GmbH das Darlehen bis zur Löschung passiviert ausweist (Szenario A, vgl. Aktenstück 8), kann auf Gesellschafterebene der Auflösungsverlust mit dem Darlehensbetrag als nachträglicher Anschaffungskosten realisiert werden — sobald feststeht, dass die GmbH das Darlehen nicht mehr bedienen wird.</w:t>
      </w:r>
    </w:p>
    <w:p>
      <w:pPr>
        <w:pStyle w:val="ListBullet"/>
      </w:pPr>
      <w:r>
        <w:t>Im umgekehrten Fall (Szenario B oder C — Darlehen wird ausgebucht, vgl. Aktenstücke 9/10): die Spiegelung auf Gesellschafterebene ist identisch (Auflösungsverlust 1,455 Mio. EUR im Teileinkünfteverfahren).</w:t>
      </w:r>
    </w:p>
    <w:p>
      <w:pPr>
        <w:pStyle w:val="Heading2"/>
      </w:pPr>
      <w:r>
        <w:rPr>
          <w:rFonts w:ascii="Times New Roman" w:hAnsi="Times New Roman"/>
        </w:rPr>
        <w:t>6. Quellen</w:t>
      </w:r>
    </w:p>
    <w:p>
      <w:pPr>
        <w:pStyle w:val="ListBullet"/>
      </w:pPr>
      <w:r>
        <w:t>§ 17 EStG, insbesondere § 17 Abs. 2a EStG (Reform 2019), § 17 Abs. 4 EStG.</w:t>
      </w:r>
    </w:p>
    <w:p>
      <w:pPr>
        <w:pStyle w:val="ListBullet"/>
      </w:pPr>
      <w:r>
        <w:t>§ 3 Nr. 40c EStG / § 3c Abs. 2 EStG (Teileinkünfteverfahren).</w:t>
      </w:r>
    </w:p>
    <w:p>
      <w:pPr>
        <w:pStyle w:val="ListBullet"/>
      </w:pPr>
      <w:r>
        <w:t>§ 10d EStG (Verlustverwertung).</w:t>
      </w:r>
    </w:p>
    <w:p>
      <w:pPr>
        <w:pStyle w:val="ListBullet"/>
      </w:pPr>
      <w:r>
        <w:t>BFH-Rechtsprechung zur „Krise" und zum „Stehenlassen" — z. B. BFH, Urteil vom 11.07.2017 — IX R 36/15, BStBl. II 2019, 208 (zu nachträglichen Anschaffungskosten nach MoMiG-Reform; verifizieren); ständige Rechtsprechung zur Auflösungsverlust-Realisierung.</w:t>
      </w:r>
    </w:p>
    <w:p>
      <w:pPr>
        <w:pStyle w:val="ListBullet"/>
      </w:pPr>
      <w:r>
        <w:t>BFH-Linie zur zeitlichen Erfassung des Auflösungsverlusts: vor Erstellung der ESt-Erklärung mit aktuellem Stand abgleichen.</w:t>
      </w:r>
    </w:p>
    <w:p>
      <w:pPr>
        <w:pStyle w:val="Heading2"/>
      </w:pPr>
      <w:r>
        <w:rPr>
          <w:rFonts w:ascii="Times New Roman" w:hAnsi="Times New Roman"/>
        </w:rPr>
        <w:t>7. Nächster Schritt</w:t>
      </w:r>
    </w:p>
    <w:p>
      <w:pPr>
        <w:jc w:val="left"/>
      </w:pPr>
      <w:r>
        <w:t>Aufnahme der nachträglichen Anschaffungskosten in die ESt-Erklärung Strassburger 2027 (oder ggf. 2026, bei Realisierung in 2026). Vorbereitung der Belegkette: Darlehensvertrag, Rangrücktrittserklärung, Liquidationsbilanz der GmbH.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