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Mandatsnotiz — Erstgespräch mit Geschäftsführer Pellbach</w:t>
      </w:r>
    </w:p>
    <w:p>
      <w:pPr>
        <w:jc w:val="left"/>
      </w:pPr>
      <w:r>
        <w:rPr>
          <w:b/>
        </w:rPr>
        <w:t>Datum:</w:t>
      </w:r>
      <w:r>
        <w:t xml:space="preserve"> 22.03.2026 (8 Tage nach StaRUG-Anzeige)</w:t>
      </w:r>
    </w:p>
    <w:p>
      <w:pPr>
        <w:jc w:val="left"/>
      </w:pPr>
      <w:r>
        <w:rPr>
          <w:b/>
        </w:rPr>
        <w:t>Teilnehmer:</w:t>
      </w:r>
    </w:p>
    <w:p>
      <w:pPr>
        <w:pStyle w:val="ListBullet"/>
      </w:pPr>
      <w:r>
        <w:t>Heiko Pellbach (50), Geschäftsführer und Mehrheitsgesellschafter (HRB-Anteile 65 %)</w:t>
      </w:r>
    </w:p>
    <w:p>
      <w:pPr>
        <w:pStyle w:val="ListBullet"/>
      </w:pPr>
      <w:r>
        <w:t>Christel Pellbach-Schwaegermann (48), Prokuristin und kaufmännische Leiterin</w:t>
      </w:r>
    </w:p>
    <w:p>
      <w:pPr>
        <w:pStyle w:val="ListBullet"/>
      </w:pPr>
      <w:r>
        <w:t>Dr. Andreas Vellenbach (Vellenbach + Cie, Berlin), Restrukturierungsbeauftragter (RB)</w:t>
      </w:r>
    </w:p>
    <w:p>
      <w:pPr>
        <w:pStyle w:val="ListBullet"/>
      </w:pPr>
      <w:r>
        <w:t>StB Lothar Werner (Werner + Cie, Cottbus), laufender Steuerberater Pellbach</w:t>
      </w:r>
    </w:p>
    <w:p>
      <w:pPr>
        <w:pStyle w:val="ListBullet"/>
      </w:pPr>
      <w:r>
        <w:t>RA Dr. Hubertus Reinkeller (Reinkeller Sanierungsrecht, Berlin), Sanierungsanwalt der Pellbach Windenergie GmbH</w:t>
      </w:r>
    </w:p>
    <w:p>
      <w:pPr>
        <w:pStyle w:val="ListBullet"/>
      </w:pPr>
      <w:r>
        <w:t>StB Dr. Lena Vogelweid (Reinkeller Sanierungsrecht, Steuerteam, beigeordnet)</w:t>
      </w:r>
    </w:p>
    <w:p>
      <w:pPr>
        <w:jc w:val="left"/>
      </w:pPr>
      <w:r>
        <w:rPr>
          <w:b/>
        </w:rPr>
        <w:t>Ort:</w:t>
      </w:r>
      <w:r>
        <w:t xml:space="preserve"> Pueckler-Allee 12, 03048 Cottbus, Konferenzraum Pellbach-Verwaltung</w:t>
      </w:r>
    </w:p>
    <w:p>
      <w:pPr>
        <w:pStyle w:val="Heading2"/>
      </w:pPr>
      <w:r>
        <w:rPr>
          <w:rFonts w:ascii="Times New Roman" w:hAnsi="Times New Roman"/>
        </w:rPr>
        <w:t>Sachstand</w:t>
      </w:r>
    </w:p>
    <w:p>
      <w:pPr>
        <w:pStyle w:val="ListBullet"/>
      </w:pPr>
      <w:r>
        <w:t>Schuldnerin: Pellbach Windenergie GmbH (HRB 28811 AG Cottbus), 180 Mitarbeiter, Wartung von Windkraftanlagen in Brandenburg und Mecklenburg-Vorpommern.</w:t>
      </w:r>
    </w:p>
    <w:p>
      <w:pPr>
        <w:pStyle w:val="ListBullet"/>
      </w:pPr>
      <w:r>
        <w:t>Umsatz 2024: 90 Mio EUR; Umsatz 2025: 64 Mio EUR (Rückgang 29 %). Ursachen: EEG-Reform 2024 (Verguetungsruckgang für Bestandsanlagen ohne Direktvermarktung), Spot-Margen-Volatilität, Hauptkundenkündigung EnertraGo SE (4,2 Mio EUR p.a.), weitere Kündigungen 8 Mio EUR.</w:t>
      </w:r>
    </w:p>
    <w:p>
      <w:pPr>
        <w:pStyle w:val="ListBullet"/>
      </w:pPr>
      <w:r>
        <w:t>Drohende Zahlungsunfähigkeit i.S.v. § 18 InsO seit Q1/2026.</w:t>
      </w:r>
    </w:p>
    <w:p>
      <w:pPr>
        <w:pStyle w:val="ListBullet"/>
      </w:pPr>
      <w:r>
        <w:t>StaRUG-Anzeige § 31 StaRUG am AG Cottbus, Restrukturierungsgericht, 14.03.2026, Az 92 RES 14/26.</w:t>
      </w:r>
    </w:p>
    <w:p>
      <w:pPr>
        <w:pStyle w:val="ListBullet"/>
      </w:pPr>
      <w:r>
        <w:t>Restrukturierungsbeauftragter RB: Dr. Andreas Vellenbach (Vellenbach + Cie, Berlin).</w:t>
      </w:r>
    </w:p>
    <w:p>
      <w:pPr>
        <w:pStyle w:val="ListBullet"/>
      </w:pPr>
      <w:r>
        <w:t>Geplanter Restrukturierungsplan: Forderungsverzicht 22 Mio EUR (Banken-Konsortium); Debt-Equity-Swap 8 Mio EUR (Banken-Anteile 35 %); Stundung 5 Mio EUR (Banken, 36 Monate Zinsstundung mit 2,5 %).</w:t>
      </w:r>
    </w:p>
    <w:p>
      <w:pPr>
        <w:pStyle w:val="Heading2"/>
      </w:pPr>
      <w:r>
        <w:rPr>
          <w:rFonts w:ascii="Times New Roman" w:hAnsi="Times New Roman"/>
        </w:rPr>
        <w:t>Banken-Konsortium</w:t>
      </w:r>
    </w:p>
    <w:p>
      <w:pPr>
        <w:jc w:val="left"/>
      </w:pPr>
      <w:r>
        <w:t>Drei Banken bilden das Konsortium:</w:t>
      </w:r>
    </w:p>
    <w:p>
      <w:pPr>
        <w:pStyle w:val="ListNumber"/>
      </w:pPr>
      <w:r>
        <w:rPr>
          <w:b/>
        </w:rPr>
        <w:t>NordKurland Bank AG (Berlin)</w:t>
      </w:r>
      <w:r>
        <w:t xml:space="preserve"> — 50 % Anteil im Konsortium; Hausbank seit 2015</w:t>
      </w:r>
    </w:p>
    <w:p>
      <w:pPr>
        <w:pStyle w:val="ListNumber"/>
      </w:pPr>
      <w:r>
        <w:rPr>
          <w:b/>
        </w:rPr>
        <w:t>Commerzbank AG (Brandenburg)</w:t>
      </w:r>
      <w:r>
        <w:t xml:space="preserve"> — 30 %</w:t>
      </w:r>
    </w:p>
    <w:p>
      <w:pPr>
        <w:pStyle w:val="ListNumber"/>
      </w:pPr>
      <w:r>
        <w:rPr>
          <w:b/>
        </w:rPr>
        <w:t>Investitionsbank des Landes Brandenburg (ILB)</w:t>
      </w:r>
      <w:r>
        <w:t xml:space="preserve"> — 20 % (öffentliche Förderbank)</w:t>
      </w:r>
    </w:p>
    <w:p>
      <w:pPr>
        <w:jc w:val="left"/>
      </w:pPr>
      <w:r>
        <w:t>Gesamtforderungen der Banken: 47 Mio EUR (vor Plan).</w:t>
      </w:r>
    </w:p>
    <w:p>
      <w:pPr>
        <w:pStyle w:val="Heading2"/>
      </w:pPr>
      <w:r>
        <w:rPr>
          <w:rFonts w:ascii="Times New Roman" w:hAnsi="Times New Roman"/>
        </w:rPr>
        <w:t>Steuerlicher Befund (Stand 22.03.2026)</w:t>
      </w:r>
    </w:p>
    <w:p>
      <w:pPr>
        <w:jc w:val="left"/>
      </w:pPr>
      <w:r>
        <w:t>StB Werner trägt vor:</w:t>
      </w:r>
    </w:p>
    <w:p>
      <w:pPr>
        <w:ind w:left="567"/>
      </w:pPr>
      <w:r>
        <w:rPr>
          <w:i/>
        </w:rPr>
        <w:t>"Pellbach hat zum 31.12.2025 einen KSt-Verlustvortrag von 6 Mio EUR und einen GewSt-Verlustvortrag von 9 Mio EUR. Der Sanierungsertrag aus dem Forderungsverzicht von 22 Mio EUR übersteigt diese Verlustvorträge deutlich. Es bleibt nach § 3a Abs. 3 EStG ein verbleibender Sanierungsertrag von 16 Mio EUR (KSt) und 13 Mio EUR (GewSt). Ohne § 3a EStG-Antrag wären das ca. 4,6 Mio EUR Steuerlast — die Plan-Sanierung kippt."</w:t>
      </w:r>
    </w:p>
    <w:p>
      <w:pPr>
        <w:jc w:val="left"/>
      </w:pPr>
      <w:r>
        <w:t>Reinkeller fragt nach der Debt-Equity-Swap-Behandlung. Werner:</w:t>
      </w:r>
    </w:p>
    <w:p>
      <w:pPr>
        <w:ind w:left="567"/>
      </w:pPr>
      <w:r>
        <w:rPr>
          <w:i/>
        </w:rPr>
        <w:t>"Der DES ist steuerlich heikel. Banken-Konsortium übernimmt 35 % Anteile gegen Verzicht auf Forderungen im Volumen 8 Mio EUR. Wenn die Forderungen voll werthaltig waren, ist der DES eine Einlage; kein Sanierungsertrag. Wenn die Forderungen nur teilweise werthaltig sind, entsteht Sanierungsertrag in Höhe der Differenz. Hier liegt die Krux: Werthaltigkeitsbewertung. Vellenbach schätzt Werthaltigkeit ca. 5,2 Mio EUR — dann wäre Sanierungsertrag-Anteil DES ca. 2,8 Mio EUR. Ich sehe es konservativer: Werthaltigkeit nur ca. 2 Mio EUR — Sanierungsertrag-Anteil DES ca. 6 Mio EUR."</w:t>
      </w:r>
    </w:p>
    <w:p>
      <w:pPr>
        <w:jc w:val="left"/>
      </w:pPr>
      <w:r>
        <w:t>Dr. Vogelweid ergänzt:</w:t>
      </w:r>
    </w:p>
    <w:p>
      <w:pPr>
        <w:ind w:left="567"/>
      </w:pPr>
      <w:r>
        <w:rPr>
          <w:i/>
        </w:rPr>
        <w:t>"Sicherheitshalber sollte die Werthaltigkeitsbewertung in einem Gutachten dokumentiert werden, idealerweise durch einen unabhängigen Wirtschaftsprüfer. Das schützt sowohl die Schuldnerin als auch die Banken bei späterer Auskunft."</w:t>
      </w:r>
    </w:p>
    <w:p>
      <w:pPr>
        <w:pStyle w:val="Heading2"/>
      </w:pPr>
      <w:r>
        <w:rPr>
          <w:rFonts w:ascii="Times New Roman" w:hAnsi="Times New Roman"/>
        </w:rPr>
        <w:t>Sofortige Punkte</w:t>
      </w:r>
    </w:p>
    <w:p>
      <w:pPr>
        <w:pStyle w:val="ListNumber"/>
      </w:pPr>
      <w:r>
        <w:rPr>
          <w:b/>
        </w:rPr>
        <w:t>Antrag § 3a Abs. 4 EStG.</w:t>
      </w:r>
      <w:r>
        <w:t xml:space="preserve"> Antrag der Schuldnerin auf Steuerfreistellung des verbleibenden Sanierungsertrags. </w:t>
      </w:r>
      <w:r>
        <w:rPr>
          <w:b/>
        </w:rPr>
        <w:t>Spätestens 27.05.2026 stellen</w:t>
      </w:r>
      <w:r>
        <w:t>, drei Tage vor Plan-Vorlage 30.05.2026.</w:t>
      </w:r>
    </w:p>
    <w:p>
      <w:pPr>
        <w:pStyle w:val="ListNumber"/>
      </w:pPr>
      <w:r>
        <w:rPr>
          <w:b/>
        </w:rPr>
        <w:t>Parallelantrag § 7b GewStG.</w:t>
      </w:r>
      <w:r>
        <w:t xml:space="preserve"> Beim Gewerbesteueramt der Stadt Cottbus gesondert zu stellen. Gewerbesteuer-Hebesatz Cottbus: 450 %.</w:t>
      </w:r>
    </w:p>
    <w:p>
      <w:pPr>
        <w:pStyle w:val="ListNumber"/>
      </w:pPr>
      <w:r>
        <w:rPr>
          <w:b/>
        </w:rPr>
        <w:t>Verbindliche Auskunft § 89 AO.</w:t>
      </w:r>
      <w:r>
        <w:t xml:space="preserve"> Antrag beim Finanzamt Cottbus mit folgenden Fragen:</w:t>
      </w:r>
    </w:p>
    <w:p>
      <w:pPr>
        <w:pStyle w:val="ListBullet"/>
      </w:pPr>
      <w:r>
        <w:t>Voraussetzungen unternehmensbezogene Sanierung</w:t>
      </w:r>
    </w:p>
    <w:p>
      <w:pPr>
        <w:pStyle w:val="ListBullet"/>
      </w:pPr>
      <w:r>
        <w:t>DES-Bewertung: Anteil Sanierungsertrag vs. Einlage</w:t>
      </w:r>
    </w:p>
    <w:p>
      <w:pPr>
        <w:pStyle w:val="ListBullet"/>
      </w:pPr>
      <w:r>
        <w:t>§ 8c KStG-Risiko und § 8d KStG-Anwendbarkeit</w:t>
      </w:r>
    </w:p>
    <w:p>
      <w:pPr>
        <w:pStyle w:val="ListBullet"/>
      </w:pPr>
      <w:r>
        <w:t>Rechtzeitigkeit des § 3a IV EStG-Antrags</w:t>
      </w:r>
    </w:p>
    <w:p>
      <w:pPr>
        <w:pStyle w:val="ListNumber"/>
      </w:pPr>
      <w:r>
        <w:rPr>
          <w:b/>
        </w:rPr>
        <w:t>§ 8d KStG-Antrag.</w:t>
      </w:r>
      <w:r>
        <w:t xml:space="preserve"> Anteilsübertragung 35 % an Banken-Konsortium überschreitet die 25 %-Schwelle des § 8c Abs. 1 Satz 1 KStG. Anteiliger Verlustvortrag (35 % von 6 Mio EUR = 2,1 Mio EUR) geht unter, sofern nicht § 8d KStG (fortfuehrungsgebundener Verlustvortrag) greift. Antrag dringend erforderlich.</w:t>
      </w:r>
    </w:p>
    <w:p>
      <w:pPr>
        <w:pStyle w:val="ListNumber"/>
      </w:pPr>
      <w:r>
        <w:rPr>
          <w:b/>
        </w:rPr>
        <w:t>DES-Werthaltigkeitsgutachten.</w:t>
      </w:r>
      <w:r>
        <w:t xml:space="preserve"> Auftrag an WP Buchner &amp; Voltz, Berlin (gleicher Prüfer wie Grossbach-Akte) zur Erstellung eines Werthaltigkeits-Gutachtens nach § 8b Abs. 3 KStG / § 6 Abs. 6 EStG, das die Werthaltigkeit der 8 Mio EUR Forderungen bestimmt. Beauftragung 25.03.2026, Abgabe 30.04.2026.</w:t>
      </w:r>
    </w:p>
    <w:p>
      <w:pPr>
        <w:pStyle w:val="Heading2"/>
      </w:pPr>
      <w:r>
        <w:rPr>
          <w:rFonts w:ascii="Times New Roman" w:hAnsi="Times New Roman"/>
        </w:rPr>
        <w:t>Frage Heiko Pellbach</w:t>
      </w:r>
    </w:p>
    <w:p>
      <w:pPr>
        <w:ind w:left="567"/>
      </w:pPr>
      <w:r>
        <w:rPr>
          <w:i/>
        </w:rPr>
        <w:t>"Banken wollen 35 % Anteile. Was passiert mit unserem Verlustvortrag?"</w:t>
      </w:r>
    </w:p>
    <w:p>
      <w:pPr>
        <w:jc w:val="left"/>
      </w:pPr>
      <w:r>
        <w:rPr>
          <w:b/>
        </w:rPr>
        <w:t>Antwort Vogelweid:</w:t>
      </w:r>
      <w:r>
        <w:t xml:space="preserve"> "Bei reiner Anwendung des § 8c KStG geht der KSt-Verlustvortrag anteilig (35 %) unter, das sind 2,1 Mio EUR. Wir können das aber durch § 8d KStG (fortfuehrungsgebundener Verlustvortrag) abfangen. Voraussetzung: Sie führen den Geschäftsbetrieb in den nächsten 3 Jahren unverändert fort, keine wesentliche Neuausrichtung, keine Einstellung des Geschäftsbetriebs. Das ist hier möglich — die Banken wollen die Sanierung, nicht eine andere Geschäftstätigkeit. § 8d KStG-Antrag ist daher dringend zu stellen."</w:t>
      </w:r>
    </w:p>
    <w:p>
      <w:pPr>
        <w:pStyle w:val="Heading2"/>
      </w:pPr>
      <w:r>
        <w:rPr>
          <w:rFonts w:ascii="Times New Roman" w:hAnsi="Times New Roman"/>
        </w:rPr>
        <w:t>Frage Christel Pellbach-Schwaegermann</w:t>
      </w:r>
    </w:p>
    <w:p>
      <w:pPr>
        <w:ind w:left="567"/>
      </w:pPr>
      <w:r>
        <w:rPr>
          <w:i/>
        </w:rPr>
        <w:t>"Wie wirkt sich das auf unsere persönliche Stellung aus?"</w:t>
      </w:r>
    </w:p>
    <w:p>
      <w:pPr>
        <w:jc w:val="left"/>
      </w:pPr>
      <w:r>
        <w:rPr>
          <w:b/>
        </w:rPr>
        <w:t>Antwort Reinkeller:</w:t>
      </w:r>
      <w:r>
        <w:t xml:space="preserve"> "Sie behalten 30 % der Anteile (Heiko Pellbach 30 %, Christel Pellbach-Schwaegermann 5 %); die Geschäftsführung bleibt bei Ihnen. Die Banken sind als Finanzinvestoren mit 35 % beteiligt, wollen aber keine operative Rolle. Im Plan-Dokument ist die Geschäftsführer-Stellung gesichert."</w:t>
      </w:r>
    </w:p>
    <w:p>
      <w:pPr>
        <w:pStyle w:val="Heading2"/>
      </w:pPr>
      <w:r>
        <w:rPr>
          <w:rFonts w:ascii="Times New Roman" w:hAnsi="Times New Roman"/>
        </w:rPr>
        <w:t>Nächste Schritte (Bis Freitag, 03.04.2026)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Bis wann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Berechnung des Sanierungsertrags (22 Mio + DES)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3a IV EStG mit Anlagen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8d KStG (fortfuehrungsgebundener Verlustvortrag)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Reinkeller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verbindliche Auskunft § 89 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WP Buchner &amp;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DES-Werthaltigkeitsgutachten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zur Sanierungseignung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Risiko-Hinweise (interner Vermerk)</w:t>
      </w:r>
    </w:p>
    <w:p>
      <w:pPr>
        <w:pStyle w:val="ListBullet"/>
      </w:pPr>
      <w:r>
        <w:t>StB Werner ist Steuerberater Pellbach seit 2018. Solide, aber wenig Sanierungserfahrung. StB Vogelweid begleitet steuerlich.</w:t>
      </w:r>
    </w:p>
    <w:p>
      <w:pPr>
        <w:pStyle w:val="ListBullet"/>
      </w:pPr>
      <w:r>
        <w:t>DES-Werthaltigkeit ist Hauptstreitpunkt. Vorsicht bei eigenen Schätzungen — WP-Gutachten zwingend.</w:t>
      </w:r>
    </w:p>
    <w:p>
      <w:pPr>
        <w:pStyle w:val="ListBullet"/>
      </w:pPr>
      <w:r>
        <w:t>§ 8c KStG-Risiko ist real; § 8d KStG-Antrag muss vor Anteilsübertragung stehen.</w:t>
      </w:r>
    </w:p>
    <w:p>
      <w:pPr>
        <w:pStyle w:val="ListBullet"/>
      </w:pPr>
      <w:r>
        <w:rPr>
          <w:b/>
        </w:rPr>
        <w:t>Bilanzielle Passivierung Bankforderung 5 Mio EUR (Stundung):</w:t>
      </w:r>
      <w:r>
        <w:t xml:space="preserve"> Stundung ist nach </w:t>
      </w:r>
      <w:r>
        <w:rPr>
          <w:b/>
        </w:rPr>
        <w:t>BFH, Urt. v. 30.11.2011 — I R 100/10, DStR 2012, 450</w:t>
      </w:r>
      <w:r>
        <w:t xml:space="preserve"> weiterhin als Verbindlichkeit zu passivieren — Verpflichtungsinhalt unverändert, Durchsetzbarkeit gegeben, wirtschaftliche Belastung bleibt. § 5 Abs. 2a EStG (</w:t>
      </w:r>
      <w:r>
        <w:rPr>
          <w:b/>
        </w:rPr>
        <w:t>BFH, Urt. v. 19.08.2020 — XI R 32/18, BStBl. II 2021, 279</w:t>
      </w:r>
      <w:r>
        <w:t>) greift bei reiner Stundung nicht, weil der Tilgungsvorbehalt nicht ausschliesslich an zukünftige Gewinne anknüpft. Keine bilanzielle Wirkung.</w:t>
      </w:r>
    </w:p>
    <w:p>
      <w:pPr>
        <w:pStyle w:val="ListBullet"/>
      </w:pPr>
      <w:r>
        <w:rPr>
          <w:b/>
        </w:rPr>
        <w:t>Plan-B-Pfad Liquidation (für den Fall des Plan-Scheiterns):</w:t>
      </w:r>
      <w:r>
        <w:t xml:space="preserve"> Sollte der Plan in der Abstimmungsversammlung scheitern, ware ggf. Liquidation oder Folgeinsolvenz zu erwägen. Im Liquidationsfall sind stehen gelassene Verbindlichkeiten bis zur Löschung passiviert zu führen (</w:t>
      </w:r>
      <w:r>
        <w:rPr>
          <w:b/>
        </w:rPr>
        <w:t>FG Koeln, Urt. v. 06.03.2012 — 13 K 3006/11, GmbHR 2012, 977</w:t>
      </w:r>
      <w:r>
        <w:t xml:space="preserve">, vorgehend zu </w:t>
      </w:r>
      <w:r>
        <w:rPr>
          <w:b/>
        </w:rPr>
        <w:t>BFH, Beschl. v. 05.02.2014 — I R 34/12, BFH/NV 2014, 1014</w:t>
      </w:r>
      <w:r>
        <w:t xml:space="preserve">); rechtstheoretischer Gewinn aus Wegfall mangels Steuersubjekt nicht festsetzbar. Im Plan-B-Pfad das Mandat ggf. um den Spezial-Skill </w:t>
      </w:r>
      <w:r>
        <w:t>stb-sanierungsgewinn-stehengelassene-verbindlichkeiten</w:t>
      </w:r>
      <w:r>
        <w:t xml:space="preserve"> ergänzen.</w:t>
      </w:r>
    </w:p>
    <w:p>
      <w:pPr>
        <w:jc w:val="left"/>
      </w:pPr>
      <w:r>
        <w:rPr>
          <w:b/>
        </w:rPr>
        <w:t>Nächster Termin:</w:t>
      </w:r>
      <w:r>
        <w:t xml:space="preserve"> Mittwoch, 03.04.2026, 10:00 Uhr, Sozietät Reinkeller Berlin. Tagesordnung: Anträge § 3a IV, § 7b GewStG, § 8d KStG, verbindliche Auskunft § 89 AO.</w:t>
      </w:r>
    </w:p>
    <w:p>
      <w:pPr>
        <w:jc w:val="left"/>
      </w:pPr>
      <w:r>
        <w:t>— gez. Reinkeller (RA), Vogelweid (StB), 22.03.2026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