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Anzeige des Restrukturierungsvorhabens nach § 31 StaRUG</w:t>
      </w:r>
    </w:p>
    <w:p>
      <w:pPr>
        <w:jc w:val="left"/>
      </w:pPr>
      <w:r>
        <w:rPr>
          <w:b/>
        </w:rPr>
        <w:t>Antragsteller (Schuldnerin):</w:t>
      </w:r>
      <w:r>
        <w:t xml:space="preserve"> Pellbach Windenergie GmbH, Pueckler-Allee 12, 03048 Cottbus, vertreten durch ihren Geschäftsführer Heiko Pellbach</w:t>
      </w:r>
    </w:p>
    <w:p>
      <w:pPr>
        <w:jc w:val="left"/>
      </w:pPr>
      <w:r>
        <w:rPr>
          <w:b/>
        </w:rPr>
        <w:t>Verfahrensbevollmaechtigter:</w:t>
      </w:r>
      <w:r>
        <w:t xml:space="preserve"> RA Dr. Hubertus Reinkeller, Reinkeller Sanierungsrecht, Charlottenburger Ufer 6, 10623 Berlin</w:t>
      </w:r>
    </w:p>
    <w:p>
      <w:pPr>
        <w:jc w:val="left"/>
      </w:pPr>
      <w:r>
        <w:rPr>
          <w:b/>
        </w:rPr>
        <w:t>Gericht:</w:t>
      </w:r>
      <w:r>
        <w:t xml:space="preserve"> AG Cottbus — Restrukturierungsgericht, Lipezker Strasse 12, 03048 Cottbus</w:t>
      </w:r>
    </w:p>
    <w:p>
      <w:pPr>
        <w:jc w:val="left"/>
      </w:pPr>
      <w:r>
        <w:rPr>
          <w:b/>
        </w:rPr>
        <w:t>Aktenzeichen:</w:t>
      </w:r>
      <w:r>
        <w:t xml:space="preserve"> 92 RES 14/26</w:t>
      </w:r>
    </w:p>
    <w:p>
      <w:pPr>
        <w:jc w:val="left"/>
      </w:pPr>
      <w:r>
        <w:rPr>
          <w:b/>
        </w:rPr>
        <w:t>Anzeigedatum:</w:t>
      </w:r>
      <w:r>
        <w:t xml:space="preserve"> 14.03.2026</w:t>
      </w:r>
    </w:p>
    <w:p>
      <w:pPr>
        <w:pStyle w:val="Heading2"/>
      </w:pPr>
      <w:r>
        <w:rPr>
          <w:rFonts w:ascii="Times New Roman" w:hAnsi="Times New Roman"/>
        </w:rPr>
        <w:t>I. Anzeige</w:t>
      </w:r>
    </w:p>
    <w:p>
      <w:pPr>
        <w:jc w:val="left"/>
      </w:pPr>
      <w:r>
        <w:t>Hiermit zeigen wir namens und im Auftrag unserer Mandantin, der Pellbach Windenergie GmbH (HRB 28811 AG Cottbus), gemäß § 31 StaRUG das Vorhaben einer Restrukturierung an.</w:t>
      </w:r>
    </w:p>
    <w:p>
      <w:pPr>
        <w:jc w:val="left"/>
      </w:pPr>
      <w:r>
        <w:t>Wir beantragen, ein Restrukturierungsplanverfahren nach §§ 4 ff. StaRUG einzuleiten.</w:t>
      </w:r>
    </w:p>
    <w:p>
      <w:pPr>
        <w:pStyle w:val="Heading2"/>
      </w:pPr>
      <w:r>
        <w:rPr>
          <w:rFonts w:ascii="Times New Roman" w:hAnsi="Times New Roman"/>
        </w:rPr>
        <w:t>II. Krisengrund</w:t>
      </w:r>
    </w:p>
    <w:p>
      <w:pPr>
        <w:pStyle w:val="Heading3"/>
      </w:pPr>
      <w:r>
        <w:rPr>
          <w:rFonts w:ascii="Times New Roman" w:hAnsi="Times New Roman"/>
        </w:rPr>
        <w:t>1. Drohende Zahlungsunfähigkeit i.S.v. § 18 InsO</w:t>
      </w:r>
    </w:p>
    <w:p>
      <w:pPr>
        <w:jc w:val="left"/>
      </w:pPr>
      <w:r>
        <w:t>Die Schuldnerin ist drohend zahlungsunfähig. Die Liquiditätsplanung (Anlage 2) zeigt für den Zeitraum Mai 2026 bis November 2026 einen Saldenfehlbetrag von 4,8 Mio EUR. Hauptkundigungen: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 p.a.)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EnertraGo SE — Hauptauftrag Wartung Windpark Märkische Heide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WindPower Cottbus eG — Service-Auftrag Repowering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Innogy/E.ON Brandenburg-Vertrieb — Wartung Brandenburg-Anlagen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Vattenfall Wind Power Brandenburg — Service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1.700.000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Summe Auftragsverluste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10.800.000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 Markt-Ursachen</w:t>
      </w:r>
    </w:p>
    <w:p>
      <w:pPr>
        <w:pStyle w:val="ListBullet"/>
      </w:pPr>
      <w:r>
        <w:rPr>
          <w:b/>
        </w:rPr>
        <w:t>EEG 2024:</w:t>
      </w:r>
      <w:r>
        <w:t xml:space="preserve"> Reform der EEG-Vergütung mit Reduktion der Anschlussvergütung um 18 % für Bestandsanlagen ohne Direktvermarktung. Wartungsmargen sinken entsprechend.</w:t>
      </w:r>
    </w:p>
    <w:p>
      <w:pPr>
        <w:pStyle w:val="ListBullet"/>
      </w:pPr>
      <w:r>
        <w:rPr>
          <w:b/>
        </w:rPr>
        <w:t>Strompreis-Volatilität:</w:t>
      </w:r>
      <w:r>
        <w:t xml:space="preserve"> Spot-Margen-Volatilität senkt Wartungs-Servicepreise.</w:t>
      </w:r>
    </w:p>
    <w:p>
      <w:pPr>
        <w:pStyle w:val="ListBullet"/>
      </w:pPr>
      <w:r>
        <w:rPr>
          <w:b/>
        </w:rPr>
        <w:t>Repowering-Druck:</w:t>
      </w:r>
      <w:r>
        <w:t xml:space="preserve"> Älterer Anlagenbestand wird durch Repowering ersetzt; Wartungsbedarf neuer Anlagen ist anders strukturiert.</w:t>
      </w:r>
    </w:p>
    <w:p>
      <w:pPr>
        <w:pStyle w:val="ListBullet"/>
      </w:pPr>
      <w:r>
        <w:rPr>
          <w:b/>
        </w:rPr>
        <w:t>Wettbewerbsdruck:</w:t>
      </w:r>
      <w:r>
        <w:t xml:space="preserve"> Internationale Wartungsdienstleister (Siemens Gamesa, GE Renewable) sind stärker in Brandenburg.</w:t>
      </w:r>
    </w:p>
    <w:p>
      <w:pPr>
        <w:pStyle w:val="Heading2"/>
      </w:pPr>
      <w:r>
        <w:rPr>
          <w:rFonts w:ascii="Times New Roman" w:hAnsi="Times New Roman"/>
        </w:rPr>
        <w:t>III. Restrukturierungskonzept (Eckpunkte)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 Banken-Konsortium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Debt-Equity-Swap Banken-Konsortium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8.000.000 EUR für 35 % Anteile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Stundung Banken-Konsortium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5.000.000 EUR, 36 Monate, Zins 2,5 %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Operative Massnahmen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Personalanpassung 30 Stellen (Sozialplan 0,9 Mio EUR); Schliessung Standort Eberswalde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Strategischer Pivot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Verstärkung Direktvermarktung (15 % Anteil Anlagenservices auf 35 % Anteil bis 2028)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Geschäftsbetrieb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unverändert fortgeführt (relevant für § 8d KStG)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IV. Sanierungsbescheinigung</w:t>
      </w:r>
    </w:p>
    <w:p>
      <w:pPr>
        <w:jc w:val="left"/>
      </w:pPr>
      <w:r>
        <w:t>Anlage 3: Sanierungsbescheinigung StB Lothar Werner (Werner + Cie, Cottbus) vom 12.03.2026 mit folgenden Aussagen:</w:t>
      </w:r>
    </w:p>
    <w:p>
      <w:pPr>
        <w:pStyle w:val="ListBullet"/>
      </w:pPr>
      <w:r>
        <w:t>Drohende Zahlungsunfähigkeit i.S.v. § 18 InsO.</w:t>
      </w:r>
    </w:p>
    <w:p>
      <w:pPr>
        <w:pStyle w:val="ListBullet"/>
      </w:pPr>
      <w:r>
        <w:t>Restrukturierung ist nicht offensichtlich aussichtslos.</w:t>
      </w:r>
    </w:p>
    <w:p>
      <w:pPr>
        <w:pStyle w:val="ListBullet"/>
      </w:pPr>
      <w:r>
        <w:t>Voraussichtliches Sanierungsinstrument: Restrukturierungsplan nach §§ 4 ff. StaRUG.</w:t>
      </w:r>
    </w:p>
    <w:p>
      <w:pPr>
        <w:pStyle w:val="ListBullet"/>
      </w:pPr>
      <w:r>
        <w:t>Verzichts- und DES-Verhandlung mit Banken läuft.</w:t>
      </w:r>
    </w:p>
    <w:p>
      <w:pPr>
        <w:pStyle w:val="Heading2"/>
      </w:pPr>
      <w:r>
        <w:rPr>
          <w:rFonts w:ascii="Times New Roman" w:hAnsi="Times New Roman"/>
        </w:rPr>
        <w:t>V. Banken-Konsortium und Zustimmung</w:t>
      </w:r>
    </w:p>
    <w:p>
      <w:pPr>
        <w:jc w:val="left"/>
      </w:pPr>
      <w:r>
        <w:t>Folgende Banken haben mit Schreiben vom 10.03.2026 ihre vorläufige Zustimmung zur Plan-Beteiligung erklärt: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Bank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Forderung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Verzicht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DES (EUR für 35 % Anteil)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Stundung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NordKurland Bank AG (Berlin)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23.500.000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2.500.000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Commerzbank AG (Brandenburg)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14.100.000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6.600.000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1.500.000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Investitionsbank des Landes Brandenburg (ILB)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9.400.000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4.400.000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1.600.000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1.000.000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47.000.000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22.000.000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8.000.000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5.000.000</w:t>
            </w:r>
          </w:p>
        </w:tc>
      </w:tr>
    </w:tbl>
    <w:p>
      <w:pPr>
        <w:jc w:val="left"/>
      </w:pPr>
      <w:r>
        <w:t>(Die Anteilsübertragung 35 % wird unter den drei Banken im Verhältnis ihrer DES-Volumina aufgeteilt: NordKurland 17,5 %, Commerzbank 10,5 %, ILB 7 %.)</w:t>
      </w:r>
    </w:p>
    <w:p>
      <w:pPr>
        <w:pStyle w:val="Heading2"/>
      </w:pPr>
      <w:r>
        <w:rPr>
          <w:rFonts w:ascii="Times New Roman" w:hAnsi="Times New Roman"/>
        </w:rPr>
        <w:t>VI. Überblick Aktiva und Passiva (zum 31.12.2025, vorläufig)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Anlagevermögen (Werkstätten, Spezial-Wartungsfahrzeuge, IT-Systeme)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Umlaufvermögen (Forderungen, Vorräte, liquide Mittel)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Verbindlichkeiten gegenüber Banken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47.000.000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Verbindlichkeiten aus Lieferung und 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Verbindlichkeiten (inkl. Steuern, USt-Rückstand)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Pensionsverpflichtungen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3.100.000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Eigenkapital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-30.500.000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VII. Antrag</w:t>
      </w:r>
    </w:p>
    <w:p>
      <w:pPr>
        <w:jc w:val="left"/>
      </w:pPr>
      <w:r>
        <w:t>Wir beantragen,</w:t>
      </w:r>
    </w:p>
    <w:p>
      <w:pPr>
        <w:pStyle w:val="ListNumber"/>
      </w:pPr>
      <w:r>
        <w:t>die Anzeige des Restrukturierungsvorhabens nach § 31 StaRUG zur Kenntnis zu nehmen;</w:t>
      </w:r>
    </w:p>
    <w:p>
      <w:pPr>
        <w:pStyle w:val="ListNumber"/>
      </w:pPr>
      <w:r>
        <w:t>Dr. Andreas Vellenbach, Vellenbach + Cie, Berlin, zum Restrukturierungsbeauftragten nach § 73 StaRUG zu bestellen;</w:t>
      </w:r>
    </w:p>
    <w:p>
      <w:pPr>
        <w:pStyle w:val="ListNumber"/>
      </w:pPr>
      <w:r>
        <w:t>der Schuldnerin nach § 49 StaRUG eine Stabilisierungsanordnung (Vollstreckungs- und Verwertungssperre) anzuordnen, soweit erforderlich.</w:t>
      </w:r>
    </w:p>
    <w:p>
      <w:pPr>
        <w:pStyle w:val="Heading2"/>
      </w:pPr>
      <w:r>
        <w:rPr>
          <w:rFonts w:ascii="Times New Roman" w:hAnsi="Times New Roman"/>
        </w:rPr>
        <w:t>VIII. Anlagen zur Anzeige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Handelsregister-Auszug HRB 28811 AG Cottbus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Liquiditätsplanung Mai 2026 — November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Sanierungsbescheinigung StB Werner v. 12.03.2026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Stellungnahme Banken-Konsortium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Bilanz und GuV 2024 (testiert WP Hoyersee &amp; Partner)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Vorläufige Bilanz und GuV 2025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IX. Beschluss AG Cottbus vom 17.03.2026</w:t>
      </w:r>
    </w:p>
    <w:p>
      <w:pPr>
        <w:jc w:val="left"/>
      </w:pPr>
      <w:r>
        <w:t>Mit Beschluss vom 17.03.2026 hat das AG Cottbus (Restrukturierungsgericht):</w:t>
      </w:r>
    </w:p>
    <w:p>
      <w:pPr>
        <w:pStyle w:val="ListNumber"/>
      </w:pPr>
      <w:r>
        <w:t>die Anzeige zur Kenntnis genommen,</w:t>
      </w:r>
    </w:p>
    <w:p>
      <w:pPr>
        <w:pStyle w:val="ListNumber"/>
      </w:pPr>
      <w:r>
        <w:t>Dr. Andreas Vellenbach (Vellenbach + Cie, Berlin) zum Restrukturierungsbeauftragten nach § 73 StaRUG bestellt,</w:t>
      </w:r>
    </w:p>
    <w:p>
      <w:pPr>
        <w:pStyle w:val="ListNumber"/>
      </w:pPr>
      <w:r>
        <w:t>der Schuldnerin gemäß § 49 StaRUG eine Stabilisierungsanordnung erteilt (Vollstreckungs- und Verwertungssperre für die Dauer von 3 Monaten, verlängerbar bis zur Plan-Bestätigung).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