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Banken-Konsortium — Verzichts- und DES-Vereinbarung</w:t>
      </w:r>
    </w:p>
    <w:p>
      <w:pPr>
        <w:pStyle w:val="Heading2"/>
      </w:pPr>
      <w:r>
        <w:rPr>
          <w:rFonts w:ascii="Times New Roman" w:hAnsi="Times New Roman"/>
        </w:rPr>
        <w:t>A. Vereinbarung zwischen Banken-Konsortium und Pellbach Windenergie GmbH</w:t>
      </w:r>
    </w:p>
    <w:p>
      <w:pPr>
        <w:jc w:val="left"/>
      </w:pPr>
      <w:r>
        <w:rPr>
          <w:b/>
        </w:rPr>
        <w:t>Parteien:</w:t>
      </w:r>
    </w:p>
    <w:p>
      <w:pPr>
        <w:pStyle w:val="ListNumber"/>
      </w:pPr>
      <w:r>
        <w:t>NordKurland Bank AG, Hardenbergstrasse 8, 10623 Berlin (Konsortialführerin)</w:t>
      </w:r>
    </w:p>
    <w:p>
      <w:pPr>
        <w:pStyle w:val="ListNumber"/>
      </w:pPr>
      <w:r>
        <w:t>Commerzbank AG, Vereinsbankstrasse 18, 14467 Potsdam (im Konsortium)</w:t>
      </w:r>
    </w:p>
    <w:p>
      <w:pPr>
        <w:pStyle w:val="ListNumber"/>
      </w:pPr>
      <w:r>
        <w:t>Investitionsbank des Landes Brandenburg (ILB), Steinstrasse 104, 14480 Potsdam (im Konsortium)</w:t>
      </w:r>
    </w:p>
    <w:p>
      <w:pPr>
        <w:pStyle w:val="ListNumber"/>
      </w:pPr>
      <w:r>
        <w:t>Pellbach Windenergie GmbH, Pueckler-Allee 12, 03048 Cottbus (Schuldnerin)</w:t>
      </w:r>
    </w:p>
    <w:p>
      <w:pPr>
        <w:jc w:val="left"/>
      </w:pPr>
      <w:r>
        <w:rPr>
          <w:b/>
        </w:rPr>
        <w:t>Beraterinnen:</w:t>
      </w:r>
    </w:p>
    <w:p>
      <w:pPr>
        <w:pStyle w:val="ListBullet"/>
      </w:pPr>
      <w:r>
        <w:t>Reinkeller Sanierungsrecht, Berlin (für Schuldnerin)</w:t>
      </w:r>
    </w:p>
    <w:p>
      <w:pPr>
        <w:pStyle w:val="ListBullet"/>
      </w:pPr>
      <w:r>
        <w:t>Wammeshübel Zwirnknäuel &amp; Sozien (für NordKurland Bank AG, Konsortialführerin)</w:t>
      </w:r>
    </w:p>
    <w:p>
      <w:pPr>
        <w:pStyle w:val="ListBullet"/>
      </w:pPr>
      <w:r>
        <w:t>Brösel Holzapfel &amp; Partner (für Commerzbank AG)</w:t>
      </w:r>
    </w:p>
    <w:p>
      <w:pPr>
        <w:pStyle w:val="ListBullet"/>
      </w:pPr>
      <w:r>
        <w:t>Inhouse-Justiziar Frau Dr. Brendt (für ILB)</w:t>
      </w:r>
    </w:p>
    <w:p>
      <w:pPr>
        <w:jc w:val="left"/>
      </w:pPr>
      <w:r>
        <w:rPr>
          <w:b/>
        </w:rPr>
        <w:t>Datum:</w:t>
      </w:r>
      <w:r>
        <w:t xml:space="preserve"> 10.03.2026 (Letter of Intent); finale Plan-Anlage 30.05.2026</w:t>
      </w:r>
    </w:p>
    <w:p>
      <w:pPr>
        <w:pStyle w:val="Heading2"/>
      </w:pPr>
      <w:r>
        <w:rPr>
          <w:rFonts w:ascii="Times New Roman" w:hAnsi="Times New Roman"/>
        </w:rPr>
        <w:t>B. Eckpunkte der Vereinbarung</w:t>
      </w:r>
    </w:p>
    <w:p>
      <w:pPr>
        <w:pStyle w:val="Heading3"/>
      </w:pPr>
      <w:r>
        <w:rPr>
          <w:rFonts w:ascii="Times New Roman" w:hAnsi="Times New Roman"/>
        </w:rPr>
        <w:t>§ 1 Präambel und Sanierungsabsicht</w:t>
      </w:r>
    </w:p>
    <w:p>
      <w:pPr>
        <w:ind w:left="567"/>
      </w:pPr>
      <w:r>
        <w:rPr>
          <w:i/>
        </w:rPr>
        <w:t xml:space="preserve">"Die Banken bekennen sich zur wirtschaftlichen Sanierung der Pellbach Windenergie GmbH und werden im Rahmen des StaRUG-Restrukturierungsplans nach §§ 4 ff. StaRUG zu nachstehenden Konditionen beitragen. Die Banken erklären ausdrücklich, dass sie den Verzicht und den Debt-Equity-Swap in </w:t>
      </w:r>
      <w:r>
        <w:rPr>
          <w:b/>
          <w:i/>
        </w:rPr>
        <w:t>Sanierungsabsicht</w:t>
      </w:r>
      <w:r>
        <w:rPr>
          <w:i/>
        </w:rPr>
        <w:t xml:space="preserve"> leisten, um die wirtschaftliche Fortführung der Schuldnerin zu ermöglichen. Die Sanierungsabsicht erstreckt sich auf den Erhalt der 180 Arbeitsplätze, den Pivot zur Direktvermarktung und die langfristige Etablierung der Schuldnerin als Wartungsdienstleister für Brandenburger Windkraftanlagen."</w:t>
      </w:r>
    </w:p>
    <w:p>
      <w:pPr>
        <w:pStyle w:val="Heading3"/>
      </w:pPr>
      <w:r>
        <w:rPr>
          <w:rFonts w:ascii="Times New Roman" w:hAnsi="Times New Roman"/>
        </w:rPr>
        <w:t>§ 2 Forderungsverzicht 22 Mio EUR</w:t>
      </w:r>
    </w:p>
    <w:p>
      <w:pPr>
        <w:jc w:val="left"/>
      </w:pPr>
      <w:r>
        <w:t>(1) Die Banken verzichten gemeinsam und konsortial auf Forderungen in Höhe von 22.000.000 EUR (in Worten: zweiundzwanzig Millionen Euro). Anteilig: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Bank</w:t>
            </w:r>
          </w:p>
        </w:tc>
        <w:tc>
          <w:tcPr>
            <w:tcW w:type="dxa" w:w="4536"/>
          </w:tcPr>
          <w:p>
            <w:r>
              <w:rPr>
                <w:rFonts w:ascii="Times New Roman" w:hAnsi="Times New Roman"/>
                <w:b/>
                <w:sz w:val="20"/>
              </w:rPr>
              <w:t>Verzichtsbetrag (EUR)</w:t>
            </w:r>
          </w:p>
        </w:tc>
      </w:tr>
      <w:tr>
        <w:tc>
          <w:tcPr>
            <w:tcW w:type="dxa" w:w="4536"/>
          </w:tcPr>
          <w:p>
            <w:r>
              <w:rPr>
                <w:rFonts w:ascii="Times New Roman" w:hAnsi="Times New Roman"/>
                <w:sz w:val="20"/>
              </w:rPr>
              <w:t>NordKurland Bank AG</w:t>
            </w:r>
          </w:p>
        </w:tc>
        <w:tc>
          <w:tcPr>
            <w:tcW w:type="dxa" w:w="4536"/>
          </w:tcPr>
          <w:p>
            <w:r>
              <w:rPr>
                <w:rFonts w:ascii="Times New Roman" w:hAnsi="Times New Roman"/>
                <w:sz w:val="20"/>
              </w:rPr>
              <w:t>11.000.000</w:t>
            </w:r>
          </w:p>
        </w:tc>
      </w:tr>
      <w:tr>
        <w:tc>
          <w:tcPr>
            <w:tcW w:type="dxa" w:w="4536"/>
          </w:tcPr>
          <w:p>
            <w:r>
              <w:rPr>
                <w:rFonts w:ascii="Times New Roman" w:hAnsi="Times New Roman"/>
                <w:sz w:val="20"/>
              </w:rPr>
              <w:t>Commerzbank AG</w:t>
            </w:r>
          </w:p>
        </w:tc>
        <w:tc>
          <w:tcPr>
            <w:tcW w:type="dxa" w:w="4536"/>
          </w:tcPr>
          <w:p>
            <w:r>
              <w:rPr>
                <w:rFonts w:ascii="Times New Roman" w:hAnsi="Times New Roman"/>
                <w:sz w:val="20"/>
              </w:rPr>
              <w:t>6.600.000</w:t>
            </w:r>
          </w:p>
        </w:tc>
      </w:tr>
      <w:tr>
        <w:tc>
          <w:tcPr>
            <w:tcW w:type="dxa" w:w="4536"/>
          </w:tcPr>
          <w:p>
            <w:r>
              <w:rPr>
                <w:rFonts w:ascii="Times New Roman" w:hAnsi="Times New Roman"/>
                <w:sz w:val="20"/>
              </w:rPr>
              <w:t>ILB</w:t>
            </w:r>
          </w:p>
        </w:tc>
        <w:tc>
          <w:tcPr>
            <w:tcW w:type="dxa" w:w="4536"/>
          </w:tcPr>
          <w:p>
            <w:r>
              <w:rPr>
                <w:rFonts w:ascii="Times New Roman" w:hAnsi="Times New Roman"/>
                <w:sz w:val="20"/>
              </w:rPr>
              <w:t>4.400.000</w:t>
            </w:r>
          </w:p>
        </w:tc>
      </w:tr>
      <w:tr>
        <w:tc>
          <w:tcPr>
            <w:tcW w:type="dxa" w:w="4536"/>
          </w:tcPr>
          <w:p>
            <w:r>
              <w:rPr>
                <w:rFonts w:ascii="Times New Roman" w:hAnsi="Times New Roman"/>
                <w:b/>
                <w:sz w:val="20"/>
              </w:rPr>
              <w:t>Summe</w:t>
            </w:r>
          </w:p>
        </w:tc>
        <w:tc>
          <w:tcPr>
            <w:tcW w:type="dxa" w:w="4536"/>
          </w:tcPr>
          <w:p>
            <w:r>
              <w:rPr>
                <w:rFonts w:ascii="Times New Roman" w:hAnsi="Times New Roman"/>
                <w:b/>
                <w:sz w:val="20"/>
              </w:rPr>
              <w:t>22.000.000</w:t>
            </w:r>
          </w:p>
        </w:tc>
      </w:tr>
    </w:tbl>
    <w:p>
      <w:pPr>
        <w:jc w:val="left"/>
      </w:pPr>
      <w:r>
        <w:t>(2) Der Verzicht steht unter der aufschiebenden Bedingung der rechtskräftigen Bestätigung des Restrukturierungsplans durch das AG Cottbus.</w:t>
      </w:r>
    </w:p>
    <w:p>
      <w:pPr>
        <w:pStyle w:val="Heading3"/>
      </w:pPr>
      <w:r>
        <w:rPr>
          <w:rFonts w:ascii="Times New Roman" w:hAnsi="Times New Roman"/>
        </w:rPr>
        <w:t>§ 3 Debt-Equity-Swap 8 Mio EUR</w:t>
      </w:r>
    </w:p>
    <w:p>
      <w:pPr>
        <w:jc w:val="left"/>
      </w:pPr>
      <w:r>
        <w:t>(1) Die Banken tauschen Forderungen in Höhe von 8.000.000 EUR gegen Anteile an der Pellbach Windenergie GmbH: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Bank</w:t>
            </w:r>
          </w:p>
        </w:tc>
        <w:tc>
          <w:tcPr>
            <w:tcW w:type="dxa" w:w="3024"/>
          </w:tcPr>
          <w:p>
            <w:r>
              <w:rPr>
                <w:rFonts w:ascii="Times New Roman" w:hAnsi="Times New Roman"/>
                <w:b/>
                <w:sz w:val="20"/>
              </w:rPr>
              <w:t>DES-Volumen (EUR)</w:t>
            </w:r>
          </w:p>
        </w:tc>
        <w:tc>
          <w:tcPr>
            <w:tcW w:type="dxa" w:w="3024"/>
          </w:tcPr>
          <w:p>
            <w:r>
              <w:rPr>
                <w:rFonts w:ascii="Times New Roman" w:hAnsi="Times New Roman"/>
                <w:b/>
                <w:sz w:val="20"/>
              </w:rPr>
              <w:t>Anteilsübernahme</w:t>
            </w:r>
          </w:p>
        </w:tc>
      </w:tr>
      <w:tr>
        <w:tc>
          <w:tcPr>
            <w:tcW w:type="dxa" w:w="3024"/>
          </w:tcPr>
          <w:p>
            <w:r>
              <w:rPr>
                <w:rFonts w:ascii="Times New Roman" w:hAnsi="Times New Roman"/>
                <w:sz w:val="20"/>
              </w:rPr>
              <w:t>NordKurland Bank AG</w:t>
            </w:r>
          </w:p>
        </w:tc>
        <w:tc>
          <w:tcPr>
            <w:tcW w:type="dxa" w:w="3024"/>
          </w:tcPr>
          <w:p>
            <w:r>
              <w:rPr>
                <w:rFonts w:ascii="Times New Roman" w:hAnsi="Times New Roman"/>
                <w:sz w:val="20"/>
              </w:rPr>
              <w:t>4.000.000</w:t>
            </w:r>
          </w:p>
        </w:tc>
        <w:tc>
          <w:tcPr>
            <w:tcW w:type="dxa" w:w="3024"/>
          </w:tcPr>
          <w:p>
            <w:r>
              <w:rPr>
                <w:rFonts w:ascii="Times New Roman" w:hAnsi="Times New Roman"/>
                <w:sz w:val="20"/>
              </w:rPr>
              <w:t>17,5 %</w:t>
            </w:r>
          </w:p>
        </w:tc>
      </w:tr>
      <w:tr>
        <w:tc>
          <w:tcPr>
            <w:tcW w:type="dxa" w:w="3024"/>
          </w:tcPr>
          <w:p>
            <w:r>
              <w:rPr>
                <w:rFonts w:ascii="Times New Roman" w:hAnsi="Times New Roman"/>
                <w:sz w:val="20"/>
              </w:rPr>
              <w:t>Commerzbank AG</w:t>
            </w:r>
          </w:p>
        </w:tc>
        <w:tc>
          <w:tcPr>
            <w:tcW w:type="dxa" w:w="3024"/>
          </w:tcPr>
          <w:p>
            <w:r>
              <w:rPr>
                <w:rFonts w:ascii="Times New Roman" w:hAnsi="Times New Roman"/>
                <w:sz w:val="20"/>
              </w:rPr>
              <w:t>2.400.000</w:t>
            </w:r>
          </w:p>
        </w:tc>
        <w:tc>
          <w:tcPr>
            <w:tcW w:type="dxa" w:w="3024"/>
          </w:tcPr>
          <w:p>
            <w:r>
              <w:rPr>
                <w:rFonts w:ascii="Times New Roman" w:hAnsi="Times New Roman"/>
                <w:sz w:val="20"/>
              </w:rPr>
              <w:t>10,5 %</w:t>
            </w:r>
          </w:p>
        </w:tc>
      </w:tr>
      <w:tr>
        <w:tc>
          <w:tcPr>
            <w:tcW w:type="dxa" w:w="3024"/>
          </w:tcPr>
          <w:p>
            <w:r>
              <w:rPr>
                <w:rFonts w:ascii="Times New Roman" w:hAnsi="Times New Roman"/>
                <w:sz w:val="20"/>
              </w:rPr>
              <w:t>ILB</w:t>
            </w:r>
          </w:p>
        </w:tc>
        <w:tc>
          <w:tcPr>
            <w:tcW w:type="dxa" w:w="3024"/>
          </w:tcPr>
          <w:p>
            <w:r>
              <w:rPr>
                <w:rFonts w:ascii="Times New Roman" w:hAnsi="Times New Roman"/>
                <w:sz w:val="20"/>
              </w:rPr>
              <w:t>1.600.000</w:t>
            </w:r>
          </w:p>
        </w:tc>
        <w:tc>
          <w:tcPr>
            <w:tcW w:type="dxa" w:w="3024"/>
          </w:tcPr>
          <w:p>
            <w:r>
              <w:rPr>
                <w:rFonts w:ascii="Times New Roman" w:hAnsi="Times New Roman"/>
                <w:sz w:val="20"/>
              </w:rPr>
              <w:t>7,0 %</w:t>
            </w:r>
          </w:p>
        </w:tc>
      </w:tr>
      <w:tr>
        <w:tc>
          <w:tcPr>
            <w:tcW w:type="dxa" w:w="3024"/>
          </w:tcPr>
          <w:p>
            <w:r>
              <w:rPr>
                <w:rFonts w:ascii="Times New Roman" w:hAnsi="Times New Roman"/>
                <w:b/>
                <w:sz w:val="20"/>
              </w:rPr>
              <w:t>Summe</w:t>
            </w:r>
          </w:p>
        </w:tc>
        <w:tc>
          <w:tcPr>
            <w:tcW w:type="dxa" w:w="3024"/>
          </w:tcPr>
          <w:p>
            <w:r>
              <w:rPr>
                <w:rFonts w:ascii="Times New Roman" w:hAnsi="Times New Roman"/>
                <w:b/>
                <w:sz w:val="20"/>
              </w:rPr>
              <w:t>8.000.000</w:t>
            </w:r>
          </w:p>
        </w:tc>
        <w:tc>
          <w:tcPr>
            <w:tcW w:type="dxa" w:w="3024"/>
          </w:tcPr>
          <w:p>
            <w:r>
              <w:rPr>
                <w:rFonts w:ascii="Times New Roman" w:hAnsi="Times New Roman"/>
                <w:b/>
                <w:sz w:val="20"/>
              </w:rPr>
              <w:t>35 %</w:t>
            </w:r>
          </w:p>
        </w:tc>
      </w:tr>
    </w:tbl>
    <w:p>
      <w:pPr>
        <w:jc w:val="left"/>
      </w:pPr>
      <w:r>
        <w:t>(2) Anteilsübertragung erfolgt durch Kapitalerhöhung in Form von Sacheinlagen (notariell beurkundet). Eintragung im Handelsregister voraussichtlich August 2026.</w:t>
      </w:r>
    </w:p>
    <w:p>
      <w:pPr>
        <w:jc w:val="left"/>
      </w:pPr>
      <w:r>
        <w:t>(3) Die Banken erklären, dass sie die übernommenen Anteile für mindestens 24 Monate halten. Es besteht ein Drag-Along und Tag-Along-Recht zu Marktbedingungen.</w:t>
      </w:r>
    </w:p>
    <w:p>
      <w:pPr>
        <w:pStyle w:val="Heading3"/>
      </w:pPr>
      <w:r>
        <w:rPr>
          <w:rFonts w:ascii="Times New Roman" w:hAnsi="Times New Roman"/>
        </w:rPr>
        <w:t>§ 4 Stundung 5 Mio EUR</w:t>
      </w:r>
    </w:p>
    <w:p>
      <w:pPr>
        <w:jc w:val="left"/>
      </w:pPr>
      <w:r>
        <w:t>(1) Die Banken stunden den Restbetrag der Forderungen in Höhe von 5.000.000 EUR für 36 Monate ab Plan-Wirksamkeit. Zinssatz: Bundesbank-Basissatz + 1 %, mindestens 2,5 % p.a.</w:t>
      </w:r>
    </w:p>
    <w:p>
      <w:pPr>
        <w:jc w:val="left"/>
      </w:pPr>
      <w:r>
        <w:t>(2) Die Stundung ist keine endgültige Forderungsaufgabe; bei Eintritt von Plan-Storno-Klauseln (§ 8 dieser Vereinbarung) fallen die Forderungen wieder voll an.</w:t>
      </w:r>
    </w:p>
    <w:p>
      <w:pPr>
        <w:pStyle w:val="Heading3"/>
      </w:pPr>
      <w:r>
        <w:rPr>
          <w:rFonts w:ascii="Times New Roman" w:hAnsi="Times New Roman"/>
        </w:rPr>
        <w:t>§ 5 Plan-Storno-Klauseln</w:t>
      </w:r>
    </w:p>
    <w:p>
      <w:pPr>
        <w:jc w:val="left"/>
      </w:pPr>
      <w:r>
        <w:t>(1) Bei Plan-Storno (§ 60 StaRUG) gilt die gesamte Vereinbarung als nicht geleistet; alle Forderungen lebt wieder auf.</w:t>
      </w:r>
    </w:p>
    <w:p>
      <w:pPr>
        <w:jc w:val="left"/>
      </w:pPr>
      <w:r>
        <w:t>(2) Plan-Storno tritt insbesondere ein, wenn die Schuldnerin gegen wesentliche Plan-Pflichten verstoesst (z. B. Insolvenzantrag aus anderen Gründen innerhalb von 24 Monaten nach Plan-Bestätigung).</w:t>
      </w:r>
    </w:p>
    <w:p>
      <w:pPr>
        <w:pStyle w:val="Heading3"/>
      </w:pPr>
      <w:r>
        <w:rPr>
          <w:rFonts w:ascii="Times New Roman" w:hAnsi="Times New Roman"/>
        </w:rPr>
        <w:t>§ 6 Werthaltigkeit der DES-Forderungen</w:t>
      </w:r>
    </w:p>
    <w:p>
      <w:pPr>
        <w:jc w:val="left"/>
      </w:pPr>
      <w:r>
        <w:t xml:space="preserve">(1) Die Banken erkennen an, dass die im DES übertragenen Forderungen (8 Mio EUR) zum Zeitpunkt der Plan-Bestätigung </w:t>
      </w:r>
      <w:r>
        <w:rPr>
          <w:b/>
        </w:rPr>
        <w:t>nicht voll werthaltig</w:t>
      </w:r>
      <w:r>
        <w:t xml:space="preserve"> sind. Eine vereinbarte Werthaltigkeitsbewertung erfolgt durch ein unabhängiges WP-Gutachten der Buchner &amp; Voltz Wirtschaftspruefungs-GmbH, Berlin.</w:t>
      </w:r>
    </w:p>
    <w:p>
      <w:pPr>
        <w:jc w:val="left"/>
      </w:pPr>
      <w:r>
        <w:t>(2) Die Werthaltigkeitsbewertung dient ausschliesslich der steuerlichen Behandlung und beeinflusst nicht die zivilrechtliche Anteilsübernahme.</w:t>
      </w:r>
    </w:p>
    <w:p>
      <w:pPr>
        <w:jc w:val="left"/>
      </w:pPr>
      <w:r>
        <w:t>(3) Stand 10.03.2026: vorläufige Werthaltigkeitsschaetzung ca. 5,2 Mio EUR (Vellenbach-Prognose); finales Gutachten wird mit der Plan-Vorlage einreicht.</w:t>
      </w:r>
    </w:p>
    <w:p>
      <w:pPr>
        <w:pStyle w:val="Heading3"/>
      </w:pPr>
      <w:r>
        <w:rPr>
          <w:rFonts w:ascii="Times New Roman" w:hAnsi="Times New Roman"/>
        </w:rPr>
        <w:t>§ 7 Verlustvortragsabsicherung (§ 8d KStG)</w:t>
      </w:r>
    </w:p>
    <w:p>
      <w:pPr>
        <w:jc w:val="left"/>
      </w:pPr>
      <w:r>
        <w:t>(1) Die Banken stimmen ausdrücklich zu, dass die Schuldnerin einen Antrag nach § 8d KStG (fortfuehrungsgebundener Verlustvortrag) stellt. Die Banken verpflichten sich, im Rahmen der Anteilsübertragung keine Massnahmen zu treffen, die § 8d KStG verletzen würden (insbesondere: keine wesentliche Änderung des Geschäftsbetriebs, keine Einstellung).</w:t>
      </w:r>
    </w:p>
    <w:p>
      <w:pPr>
        <w:jc w:val="left"/>
      </w:pPr>
      <w:r>
        <w:t>(2) Die Schuldnerin verpflichtet sich, den Geschäftsbetrieb gemäß Plan-Konzept fortzuführen.</w:t>
      </w:r>
    </w:p>
    <w:p>
      <w:pPr>
        <w:pStyle w:val="Heading3"/>
      </w:pPr>
      <w:r>
        <w:rPr>
          <w:rFonts w:ascii="Times New Roman" w:hAnsi="Times New Roman"/>
        </w:rPr>
        <w:t>§ 8 Steuerliche Klausel</w:t>
      </w:r>
    </w:p>
    <w:p>
      <w:pPr>
        <w:jc w:val="left"/>
      </w:pPr>
      <w:r>
        <w:t>(1) Die Schuldnerin verpflichtet sich, einen Antrag nach § 3a Abs. 4 EStG sowie nach § 7b GewStG vor Plan-Vorlage beim Finanzamt Cottbus bzw. Gewerbesteueramt der Stadt Cottbus zu stellen.</w:t>
      </w:r>
    </w:p>
    <w:p>
      <w:pPr>
        <w:jc w:val="left"/>
      </w:pPr>
      <w:r>
        <w:t>(2) Die Schuldnerin verpflichtet sich, einen Antrag auf verbindliche Auskunft nach § 89 AO einzureichen, um die Voraussetzungen der unternehmensbezogenen Sanierung verbindlich klären zu lassen.</w:t>
      </w:r>
    </w:p>
    <w:p>
      <w:pPr>
        <w:jc w:val="left"/>
      </w:pPr>
      <w:r>
        <w:t>(3) Die Banken halten die Schuldnerin von zusätzlichen Kostenrisiken aus dem Steuerverfahren bis zur Plan-Bestätigung frei (Best-Effort, kein Schadensersatz).</w:t>
      </w:r>
    </w:p>
    <w:p>
      <w:pPr>
        <w:pStyle w:val="Heading3"/>
      </w:pPr>
      <w:r>
        <w:rPr>
          <w:rFonts w:ascii="Times New Roman" w:hAnsi="Times New Roman"/>
        </w:rPr>
        <w:t>§ 9 Inkrafttreten</w:t>
      </w:r>
    </w:p>
    <w:p>
      <w:pPr>
        <w:jc w:val="left"/>
      </w:pPr>
      <w:r>
        <w:t>Diese Vereinbarung tritt mit Plan-Vorlage 30.05.2026 in Kraft. Sie wird Anlage zum Restrukturierungsplan.</w:t>
      </w:r>
    </w:p>
    <w:p>
      <w:pPr>
        <w:pStyle w:val="Heading2"/>
      </w:pPr>
      <w:r>
        <w:rPr>
          <w:rFonts w:ascii="Times New Roman" w:hAnsi="Times New Roman"/>
        </w:rPr>
        <w:t>C. Beratungsvermerk (intern, Sozietät Reinkeller)</w:t>
      </w:r>
    </w:p>
    <w:p>
      <w:pPr>
        <w:pStyle w:val="Heading3"/>
      </w:pPr>
      <w:r>
        <w:rPr>
          <w:rFonts w:ascii="Times New Roman" w:hAnsi="Times New Roman"/>
        </w:rPr>
        <w:t>1. DES-Steuerstruktur</w:t>
      </w:r>
    </w:p>
    <w:p>
      <w:pPr>
        <w:jc w:val="left"/>
      </w:pPr>
      <w:r>
        <w:t>Die zentrale Frage: Welcher Teil des DES ist steuerlich Einlage (steuerneutral), welcher Teil Sanierungsertrag (steuerpflichtig vor § 3a EStG-Befreiung)?</w:t>
      </w:r>
    </w:p>
    <w:p>
      <w:pPr>
        <w:jc w:val="left"/>
      </w:pPr>
      <w:r>
        <w:t xml:space="preserve">Grundsatz: Bei einem Debt-Equity-Swap wird die Forderung </w:t>
      </w:r>
      <w:r>
        <w:rPr>
          <w:b/>
        </w:rPr>
        <w:t>in Höhe ihres tatsächlichen Werts</w:t>
      </w:r>
      <w:r>
        <w:t xml:space="preserve"> in eine Einlage umgewandelt. Der Differenzbetrag zwischen Forderungs-Nennwert und tatsächlichem Wert ist Sanierungsertrag.</w:t>
      </w:r>
    </w:p>
    <w:p>
      <w:pPr>
        <w:jc w:val="left"/>
      </w:pPr>
      <w:r>
        <w:t>Im Streitfall: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Forderungs-Nennwert DES</w:t>
            </w:r>
          </w:p>
        </w:tc>
        <w:tc>
          <w:tcPr>
            <w:tcW w:type="dxa" w:w="4536"/>
          </w:tcPr>
          <w:p>
            <w:r>
              <w:rPr>
                <w:rFonts w:ascii="Times New Roman" w:hAnsi="Times New Roman"/>
                <w:sz w:val="20"/>
              </w:rPr>
              <w:t>8.000.000</w:t>
            </w:r>
          </w:p>
        </w:tc>
      </w:tr>
      <w:tr>
        <w:tc>
          <w:tcPr>
            <w:tcW w:type="dxa" w:w="4536"/>
          </w:tcPr>
          <w:p>
            <w:r>
              <w:rPr>
                <w:rFonts w:ascii="Times New Roman" w:hAnsi="Times New Roman"/>
                <w:sz w:val="20"/>
              </w:rPr>
              <w:t>Werthaltigkeit (Gutachten Buchner &amp; Voltz)</w:t>
            </w:r>
          </w:p>
        </w:tc>
        <w:tc>
          <w:tcPr>
            <w:tcW w:type="dxa" w:w="4536"/>
          </w:tcPr>
          <w:p>
            <w:r>
              <w:rPr>
                <w:rFonts w:ascii="Times New Roman" w:hAnsi="Times New Roman"/>
                <w:sz w:val="20"/>
              </w:rPr>
              <w:t>5.200.000</w:t>
            </w:r>
          </w:p>
        </w:tc>
      </w:tr>
      <w:tr>
        <w:tc>
          <w:tcPr>
            <w:tcW w:type="dxa" w:w="4536"/>
          </w:tcPr>
          <w:p>
            <w:r>
              <w:rPr>
                <w:rFonts w:ascii="Times New Roman" w:hAnsi="Times New Roman"/>
                <w:b/>
                <w:sz w:val="20"/>
              </w:rPr>
              <w:t>Einlage-Anteil (steuerneutral)</w:t>
            </w:r>
          </w:p>
        </w:tc>
        <w:tc>
          <w:tcPr>
            <w:tcW w:type="dxa" w:w="4536"/>
          </w:tcPr>
          <w:p>
            <w:r>
              <w:rPr>
                <w:rFonts w:ascii="Times New Roman" w:hAnsi="Times New Roman"/>
                <w:b/>
                <w:sz w:val="20"/>
              </w:rPr>
              <w:t>5.200.000</w:t>
            </w:r>
          </w:p>
        </w:tc>
      </w:tr>
      <w:tr>
        <w:tc>
          <w:tcPr>
            <w:tcW w:type="dxa" w:w="4536"/>
          </w:tcPr>
          <w:p>
            <w:r>
              <w:rPr>
                <w:rFonts w:ascii="Times New Roman" w:hAnsi="Times New Roman"/>
                <w:b/>
                <w:sz w:val="20"/>
              </w:rPr>
              <w:t>Sanierungsertrag-Anteil DES</w:t>
            </w:r>
          </w:p>
        </w:tc>
        <w:tc>
          <w:tcPr>
            <w:tcW w:type="dxa" w:w="4536"/>
          </w:tcPr>
          <w:p>
            <w:r>
              <w:rPr>
                <w:rFonts w:ascii="Times New Roman" w:hAnsi="Times New Roman"/>
                <w:b/>
                <w:sz w:val="20"/>
              </w:rPr>
              <w:t>2.800.000</w:t>
            </w:r>
          </w:p>
        </w:tc>
      </w:tr>
    </w:tbl>
    <w:p>
      <w:pPr>
        <w:pStyle w:val="Heading3"/>
      </w:pPr>
      <w:r>
        <w:rPr>
          <w:rFonts w:ascii="Times New Roman" w:hAnsi="Times New Roman"/>
        </w:rPr>
        <w:t>2. Sanierungsertrag konsolidiert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Forderungsverzicht</w:t>
            </w:r>
          </w:p>
        </w:tc>
        <w:tc>
          <w:tcPr>
            <w:tcW w:type="dxa" w:w="4536"/>
          </w:tcPr>
          <w:p>
            <w:r>
              <w:rPr>
                <w:rFonts w:ascii="Times New Roman" w:hAnsi="Times New Roman"/>
                <w:sz w:val="20"/>
              </w:rPr>
              <w:t>22.000.000</w:t>
            </w:r>
          </w:p>
        </w:tc>
      </w:tr>
      <w:tr>
        <w:tc>
          <w:tcPr>
            <w:tcW w:type="dxa" w:w="4536"/>
          </w:tcPr>
          <w:p>
            <w:r>
              <w:rPr>
                <w:rFonts w:ascii="Times New Roman" w:hAnsi="Times New Roman"/>
                <w:sz w:val="20"/>
              </w:rPr>
              <w:t>Sanierungsertrag-Anteil DES</w:t>
            </w:r>
          </w:p>
        </w:tc>
        <w:tc>
          <w:tcPr>
            <w:tcW w:type="dxa" w:w="4536"/>
          </w:tcPr>
          <w:p>
            <w:r>
              <w:rPr>
                <w:rFonts w:ascii="Times New Roman" w:hAnsi="Times New Roman"/>
                <w:sz w:val="20"/>
              </w:rPr>
              <w:t>2.800.000</w:t>
            </w:r>
          </w:p>
        </w:tc>
      </w:tr>
      <w:tr>
        <w:tc>
          <w:tcPr>
            <w:tcW w:type="dxa" w:w="4536"/>
          </w:tcPr>
          <w:p>
            <w:r>
              <w:rPr>
                <w:rFonts w:ascii="Times New Roman" w:hAnsi="Times New Roman"/>
                <w:b/>
                <w:sz w:val="20"/>
              </w:rPr>
              <w:t>Steuerlicher Sanierungsertrag konsolidiert</w:t>
            </w:r>
          </w:p>
        </w:tc>
        <w:tc>
          <w:tcPr>
            <w:tcW w:type="dxa" w:w="4536"/>
          </w:tcPr>
          <w:p>
            <w:r>
              <w:rPr>
                <w:rFonts w:ascii="Times New Roman" w:hAnsi="Times New Roman"/>
                <w:b/>
                <w:sz w:val="20"/>
              </w:rPr>
              <w:t>24.800.000</w:t>
            </w:r>
          </w:p>
        </w:tc>
      </w:tr>
    </w:tbl>
    <w:p>
      <w:pPr>
        <w:pStyle w:val="Heading3"/>
      </w:pPr>
      <w:r>
        <w:rPr>
          <w:rFonts w:ascii="Times New Roman" w:hAnsi="Times New Roman"/>
        </w:rPr>
        <w:t>3. Vergleich Alternativ-Bewertungen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Variante</w:t>
            </w:r>
          </w:p>
        </w:tc>
        <w:tc>
          <w:tcPr>
            <w:tcW w:type="dxa" w:w="2268"/>
          </w:tcPr>
          <w:p>
            <w:r>
              <w:rPr>
                <w:rFonts w:ascii="Times New Roman" w:hAnsi="Times New Roman"/>
                <w:b/>
                <w:sz w:val="20"/>
              </w:rPr>
              <w:t>Werthaltigkeit DES (EUR)</w:t>
            </w:r>
          </w:p>
        </w:tc>
        <w:tc>
          <w:tcPr>
            <w:tcW w:type="dxa" w:w="2268"/>
          </w:tcPr>
          <w:p>
            <w:r>
              <w:rPr>
                <w:rFonts w:ascii="Times New Roman" w:hAnsi="Times New Roman"/>
                <w:b/>
                <w:sz w:val="20"/>
              </w:rPr>
              <w:t>Sanierungsertrag DES (EUR)</w:t>
            </w:r>
          </w:p>
        </w:tc>
        <w:tc>
          <w:tcPr>
            <w:tcW w:type="dxa" w:w="2268"/>
          </w:tcPr>
          <w:p>
            <w:r>
              <w:rPr>
                <w:rFonts w:ascii="Times New Roman" w:hAnsi="Times New Roman"/>
                <w:b/>
                <w:sz w:val="20"/>
              </w:rPr>
              <w:t>Sanierungsertrag gesamt (EUR)</w:t>
            </w:r>
          </w:p>
        </w:tc>
      </w:tr>
      <w:tr>
        <w:tc>
          <w:tcPr>
            <w:tcW w:type="dxa" w:w="2268"/>
          </w:tcPr>
          <w:p>
            <w:r>
              <w:rPr>
                <w:rFonts w:ascii="Times New Roman" w:hAnsi="Times New Roman"/>
                <w:sz w:val="20"/>
              </w:rPr>
              <w:t>Vellenbach (5,2 Mio EUR)</w:t>
            </w:r>
          </w:p>
        </w:tc>
        <w:tc>
          <w:tcPr>
            <w:tcW w:type="dxa" w:w="2268"/>
          </w:tcPr>
          <w:p>
            <w:r>
              <w:rPr>
                <w:rFonts w:ascii="Times New Roman" w:hAnsi="Times New Roman"/>
                <w:sz w:val="20"/>
              </w:rPr>
              <w:t>5.200.000</w:t>
            </w:r>
          </w:p>
        </w:tc>
        <w:tc>
          <w:tcPr>
            <w:tcW w:type="dxa" w:w="2268"/>
          </w:tcPr>
          <w:p>
            <w:r>
              <w:rPr>
                <w:rFonts w:ascii="Times New Roman" w:hAnsi="Times New Roman"/>
                <w:sz w:val="20"/>
              </w:rPr>
              <w:t>2.800.000</w:t>
            </w:r>
          </w:p>
        </w:tc>
        <w:tc>
          <w:tcPr>
            <w:tcW w:type="dxa" w:w="2268"/>
          </w:tcPr>
          <w:p>
            <w:r>
              <w:rPr>
                <w:rFonts w:ascii="Times New Roman" w:hAnsi="Times New Roman"/>
                <w:sz w:val="20"/>
              </w:rPr>
              <w:t>24.800.000</w:t>
            </w:r>
          </w:p>
        </w:tc>
      </w:tr>
      <w:tr>
        <w:tc>
          <w:tcPr>
            <w:tcW w:type="dxa" w:w="2268"/>
          </w:tcPr>
          <w:p>
            <w:r>
              <w:rPr>
                <w:rFonts w:ascii="Times New Roman" w:hAnsi="Times New Roman"/>
                <w:sz w:val="20"/>
              </w:rPr>
              <w:t>Werner konservativ (2,0 Mio EUR)</w:t>
            </w:r>
          </w:p>
        </w:tc>
        <w:tc>
          <w:tcPr>
            <w:tcW w:type="dxa" w:w="2268"/>
          </w:tcPr>
          <w:p>
            <w:r>
              <w:rPr>
                <w:rFonts w:ascii="Times New Roman" w:hAnsi="Times New Roman"/>
                <w:sz w:val="20"/>
              </w:rPr>
              <w:t>2.000.000</w:t>
            </w:r>
          </w:p>
        </w:tc>
        <w:tc>
          <w:tcPr>
            <w:tcW w:type="dxa" w:w="2268"/>
          </w:tcPr>
          <w:p>
            <w:r>
              <w:rPr>
                <w:rFonts w:ascii="Times New Roman" w:hAnsi="Times New Roman"/>
                <w:sz w:val="20"/>
              </w:rPr>
              <w:t>6.000.000</w:t>
            </w:r>
          </w:p>
        </w:tc>
        <w:tc>
          <w:tcPr>
            <w:tcW w:type="dxa" w:w="2268"/>
          </w:tcPr>
          <w:p>
            <w:r>
              <w:rPr>
                <w:rFonts w:ascii="Times New Roman" w:hAnsi="Times New Roman"/>
                <w:sz w:val="20"/>
              </w:rPr>
              <w:t>28.000.000</w:t>
            </w:r>
          </w:p>
        </w:tc>
      </w:tr>
      <w:tr>
        <w:tc>
          <w:tcPr>
            <w:tcW w:type="dxa" w:w="2268"/>
          </w:tcPr>
          <w:p>
            <w:r>
              <w:rPr>
                <w:rFonts w:ascii="Times New Roman" w:hAnsi="Times New Roman"/>
                <w:sz w:val="20"/>
              </w:rPr>
              <w:t>Banken liberal (7,5 Mio EUR)</w:t>
            </w:r>
          </w:p>
        </w:tc>
        <w:tc>
          <w:tcPr>
            <w:tcW w:type="dxa" w:w="2268"/>
          </w:tcPr>
          <w:p>
            <w:r>
              <w:rPr>
                <w:rFonts w:ascii="Times New Roman" w:hAnsi="Times New Roman"/>
                <w:sz w:val="20"/>
              </w:rPr>
              <w:t>7.500.000</w:t>
            </w:r>
          </w:p>
        </w:tc>
        <w:tc>
          <w:tcPr>
            <w:tcW w:type="dxa" w:w="2268"/>
          </w:tcPr>
          <w:p>
            <w:r>
              <w:rPr>
                <w:rFonts w:ascii="Times New Roman" w:hAnsi="Times New Roman"/>
                <w:sz w:val="20"/>
              </w:rPr>
              <w:t>500.000</w:t>
            </w:r>
          </w:p>
        </w:tc>
        <w:tc>
          <w:tcPr>
            <w:tcW w:type="dxa" w:w="2268"/>
          </w:tcPr>
          <w:p>
            <w:r>
              <w:rPr>
                <w:rFonts w:ascii="Times New Roman" w:hAnsi="Times New Roman"/>
                <w:sz w:val="20"/>
              </w:rPr>
              <w:t>22.500.000</w:t>
            </w:r>
          </w:p>
        </w:tc>
      </w:tr>
    </w:tbl>
    <w:p>
      <w:pPr>
        <w:jc w:val="left"/>
      </w:pPr>
      <w:r>
        <w:t>In allen Varianten ist der Sanierungsertrag deutlich höher als die Verlustvorträge (6 Mio EUR KSt; 9 Mio EUR GewSt). Mit § 3a EStG-Befreiung ist die Sanierung in allen Varianten tragfähig.</w:t>
      </w:r>
    </w:p>
    <w:p>
      <w:pPr>
        <w:pStyle w:val="Heading3"/>
      </w:pPr>
      <w:r>
        <w:rPr>
          <w:rFonts w:ascii="Times New Roman" w:hAnsi="Times New Roman"/>
        </w:rPr>
        <w:t>4. WP-Gutachten Buchner &amp; Voltz (final 15.05.2026)</w:t>
      </w:r>
    </w:p>
    <w:p>
      <w:pPr>
        <w:jc w:val="left"/>
      </w:pPr>
      <w:r>
        <w:t>Das endgültige Werthaltigkeitsgutachten wird Werthaltigkeit 5,2 Mio EUR bestätigen. Sanierungsertrag konsolidiert: 24,8 Mio EUR.</w:t>
      </w:r>
    </w:p>
    <w:p>
      <w:pPr>
        <w:jc w:val="left"/>
      </w:pPr>
      <w:r>
        <w:t>Davon Verbrauch:</w:t>
      </w:r>
    </w:p>
    <w:p>
      <w:pPr>
        <w:pStyle w:val="ListBullet"/>
      </w:pPr>
      <w:r>
        <w:t>KSt-Verlustvortrag 6 Mio EUR ➜ Verbleibender KSt-Sanierungsertrag: 18,8 Mio EUR (zur Befreiung nach § 3a EStG)</w:t>
      </w:r>
    </w:p>
    <w:p>
      <w:pPr>
        <w:pStyle w:val="ListBullet"/>
      </w:pPr>
      <w:r>
        <w:t>GewSt-Verlustvortrag 9 Mio EUR ➜ Verbleibender GewSt-Sanierungsertrag: 15,8 Mio EUR (zur Befreiung nach § 7b GewStG)</w:t>
      </w:r>
    </w:p>
    <w:p>
      <w:pPr>
        <w:jc w:val="left"/>
      </w:pPr>
      <w:r>
        <w:t>(Die Akte verwendet die Hauptzahl 22 Mio EUR im weiteren Verlauf konsistent für den Forderungsverzicht-Teil; DES wird gesondert behandelt in den Aktenstücken 05, 07.)</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