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§ 3a Abs. 3 EStG-Verrechnung und Sanierungsertrag-Pruefung Pellbach Windenergie</w:t>
      </w:r>
    </w:p>
    <w:p>
      <w:pPr>
        <w:pStyle w:val="Heading2"/>
      </w:pPr>
      <w:r>
        <w:rPr>
          <w:rFonts w:ascii="Times New Roman" w:hAnsi="Times New Roman"/>
        </w:rPr>
        <w:t>I. Zweck</w:t>
      </w:r>
    </w:p>
    <w:p>
      <w:pPr>
        <w:jc w:val="left"/>
      </w:pPr>
      <w:r>
        <w:t>Verrechnungsmatrix nach § 3a Abs. 3 EStG für Pellbach Windenergie GmbH. Anlage zum Antrag § 3a IV EStG (Aktenstück 08) und zum Parallelantrag § 7b GewStG (Aktenstück 09).</w:t>
      </w:r>
    </w:p>
    <w:p>
      <w:pPr>
        <w:jc w:val="left"/>
      </w:pPr>
      <w:r>
        <w:t>Erstellt durch StB Dr. Lena Vogelweid (Sozietät Reinkeller). Stand 02.04.2026.</w:t>
      </w:r>
    </w:p>
    <w:p>
      <w:pPr>
        <w:pStyle w:val="Heading2"/>
      </w:pPr>
      <w:r>
        <w:rPr>
          <w:rFonts w:ascii="Times New Roman" w:hAnsi="Times New Roman"/>
        </w:rPr>
        <w:t>II. Eingangsgroessen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— Forderungsverzicht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— DES-Anteil (vorläufig, WP-Gutachten Werthaltigkeit 5,2 Mio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Konsolidierter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Stundung (steuerneutral)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KSt-Verlustvortrag zum 31.12.2025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 FA Cottbus 18.03.2025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GewSt-Verlustvortrag zum 31.12.2025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 Stadt Cottbus 18.03.2025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 laufendes Jahr 2026 (vor Sanierung)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(Plan-Annahme schwarz-null)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Plan-Eckpunkte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III. Hauptzahl-Variante (Akte-Konsistenz: nur Forderungsverzicht 22 Mio EUR)</w:t>
      </w:r>
    </w:p>
    <w:p>
      <w:pPr>
        <w:jc w:val="left"/>
      </w:pPr>
      <w:r>
        <w:t>In dieser Variante wird der DES-Sanierungsertrag-Anteil (2,8 Mio EUR) separat behandelt (siehe Nachtragsantrag, Aktenstück 13). Die Hauptmatrix arbeitet mit dem reinen Forderungsverzicht.</w:t>
      </w:r>
    </w:p>
    <w:p>
      <w:pPr>
        <w:pStyle w:val="Heading3"/>
      </w:pPr>
      <w:r>
        <w:rPr>
          <w:rFonts w:ascii="Times New Roman" w:hAnsi="Times New Roman"/>
        </w:rPr>
        <w:t>KSt-Ebene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Sanierungsertrag-Saldo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Anrechnung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Start: Sanierungsertrag (Verzicht)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1: Verlust laufendes Jahr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2: Verlustruecktrag nach 2025 (verfügbar 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3: Verlustvortrag KSt (§ 10d EStG)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 nach § 3a III EStG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16.000.000</w:t>
            </w:r>
          </w:p>
        </w:tc>
      </w:tr>
    </w:tbl>
    <w:p>
      <w:pPr>
        <w:jc w:val="left"/>
      </w:pPr>
      <w:r>
        <w:t xml:space="preserve">➜ </w:t>
      </w:r>
      <w:r>
        <w:rPr>
          <w:b/>
        </w:rPr>
        <w:t>Antrag § 3a IV EStG:</w:t>
      </w:r>
      <w:r>
        <w:t xml:space="preserve"> Diese 16 Mio EUR sind nach § 3a Abs. 1 EStG steuerfrei zu stellen.</w:t>
      </w:r>
    </w:p>
    <w:p>
      <w:pPr>
        <w:pStyle w:val="Heading3"/>
      </w:pPr>
      <w:r>
        <w:rPr>
          <w:rFonts w:ascii="Times New Roman" w:hAnsi="Times New Roman"/>
        </w:rPr>
        <w:t>GewSt-Ebene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Sanierungsertrag-Saldo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Anrechnung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Start: Sanierungsertrag (Verzicht)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1: Negativer Gewerbeertrag 2026 (laufend)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Schritt 2: Verlustvortrag GewSt (§ 10a GewStG)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 nach § 7b GewStG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13.000.000</w:t>
            </w:r>
          </w:p>
        </w:tc>
      </w:tr>
    </w:tbl>
    <w:p>
      <w:pPr>
        <w:jc w:val="left"/>
      </w:pPr>
      <w:r>
        <w:t xml:space="preserve">➜ </w:t>
      </w:r>
      <w:r>
        <w:rPr>
          <w:b/>
        </w:rPr>
        <w:t>Antrag § 7b GewStG:</w:t>
      </w:r>
      <w:r>
        <w:t xml:space="preserve"> Diese 13 Mio EUR sind gewerbesteuerlich freizustellen.</w:t>
      </w:r>
    </w:p>
    <w:p>
      <w:pPr>
        <w:pStyle w:val="Heading2"/>
      </w:pPr>
      <w:r>
        <w:rPr>
          <w:rFonts w:ascii="Times New Roman" w:hAnsi="Times New Roman"/>
        </w:rPr>
        <w:t>IV. Konsistenz-Pruefung Hauptzahl-Variante</w:t>
      </w:r>
    </w:p>
    <w:p>
      <w:pPr>
        <w:pStyle w:val="Heading3"/>
      </w:pPr>
      <w:r>
        <w:rPr>
          <w:rFonts w:ascii="Times New Roman" w:hAnsi="Times New Roman"/>
        </w:rPr>
        <w:t>Ohne § 3a EStG-Befreiung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15 %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Solidaritätszuschlag 5,5 % auf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Steuermesszahl 3,5 %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Hebesatz Cottbus 450 %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2.047.500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Steuerlast ohne § 3a / § 7b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4.579.500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Mit § 3a EStG-Befreiung (Soll-Pfad)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3a Abs. 1 EStG-Befreiung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7b GewStG-Befreiung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-13.000.000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Soli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V. Erweiterte Variante (mit DES-Sanierungsertrag-Anteil 2,8 Mio EUR)</w:t>
      </w:r>
    </w:p>
    <w:p>
      <w:pPr>
        <w:pStyle w:val="Heading3"/>
      </w:pPr>
      <w:r>
        <w:rPr>
          <w:rFonts w:ascii="Times New Roman" w:hAnsi="Times New Roman"/>
        </w:rPr>
        <w:t>KSt-Ebene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konsolidiert (22 + 2,8)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18.800.000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3a Abs. 1 EStG-Befreiung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-18.800.000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GewSt-Ebene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konsolidiert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15.800.000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7b GewStG-Befreiung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-15.800.000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VI. § 8c KStG / § 8d KStG-Folge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KSt-Verlustvortrag vor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Verbrauch durch § 3a Abs. 3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KSt-Verlustvortrag nach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 35 % an Banken (August 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Effekt mehr (Vortrag bereits aufgezehrt)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8d KStG-Antrag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wird trotzdem gestellt (Schutz für künftige Verluste)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VII. Bindungswirkung § 3a IV EStG</w:t>
      </w:r>
    </w:p>
    <w:p>
      <w:pPr>
        <w:jc w:val="left"/>
      </w:pPr>
      <w:r>
        <w:t>Der Antrag § 3a IV EStG ist bindend. Folge:</w:t>
      </w:r>
    </w:p>
    <w:p>
      <w:pPr>
        <w:pStyle w:val="ListBullet"/>
      </w:pPr>
      <w:r>
        <w:t>Verlustverrechnung 6 Mio EUR KSt und 9 Mio EUR GewSt entfaltet sich zwingend.</w:t>
      </w:r>
    </w:p>
    <w:p>
      <w:pPr>
        <w:pStyle w:val="ListBullet"/>
      </w:pPr>
      <w:r>
        <w:t>Verlustvorträge sind nach Sanierung aufgezehrt — können nicht mehr für künftige Gewinne 2027 ff. genutzt werden.</w:t>
      </w:r>
    </w:p>
    <w:p>
      <w:pPr>
        <w:pStyle w:val="ListBullet"/>
      </w:pPr>
      <w:r>
        <w:t>Mandantin akzeptiert dies ausdrücklich (siehe Aktenstück 08).</w:t>
      </w:r>
    </w:p>
    <w:p>
      <w:pPr>
        <w:pStyle w:val="Heading2"/>
      </w:pPr>
      <w:r>
        <w:rPr>
          <w:rFonts w:ascii="Times New Roman" w:hAnsi="Times New Roman"/>
        </w:rPr>
        <w:t>VIII. Sensitivitaetsanalyse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Variante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Sanierungsertrag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Verlustvortrag KSt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Verbleibend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Steuerbelastung ohne § 3a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Verzicht (Hauptzahl)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4.579.500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 DES Vellenbach (Werthaltigkeit 5,2 Mio)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5.380.500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 DES Werner (Werthaltigkeit 2,0 Mio)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6.301.500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 DES Banken (Werthaltigkeit 7,5 Mio)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22.500.000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16.500.000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4.722.750</w:t>
            </w:r>
          </w:p>
        </w:tc>
      </w:tr>
    </w:tbl>
    <w:p>
      <w:pPr>
        <w:jc w:val="left"/>
      </w:pPr>
      <w:r>
        <w:t>In allen Varianten: Mit § 3a EStG-Befreiung Steuer 2026 = 0; ohne Befreiung 4,5 — 6,3 Mio EUR.</w:t>
      </w:r>
    </w:p>
    <w:p>
      <w:pPr>
        <w:pStyle w:val="Heading2"/>
      </w:pPr>
      <w:r>
        <w:rPr>
          <w:rFonts w:ascii="Times New Roman" w:hAnsi="Times New Roman"/>
        </w:rPr>
        <w:t>IX. Anlagenmappe (für Antrag § 3a IV EStG)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(Aktenstück 05)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Diese Matrix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Verlustvortrag KSt 31.12.2024 v. 18.03.2025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Gewerbeverlust GewSt 31.12.2024 v. 18.03.2025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Reinkeller-Sozietät v. 02.03.2026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v. 14.03.2026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Banken-Konsortium-Vereinbarung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DES-Werthaltigkeitsgutachten Buchner &amp; Voltz v. 15.05.2026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HR-Auszug HRB 28811</w:t>
            </w:r>
          </w:p>
        </w:tc>
      </w:tr>
    </w:tbl>
    <w:p>
      <w:pPr>
        <w:jc w:val="left"/>
      </w:pPr>
      <w:r>
        <w:t>— gez. Vogelweid (StB), Stand 02.04.2026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