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Restrukturierungsbeauftragter (RB) — Haftung und Aufgaben im StaRUG-Plan</w:t>
      </w:r>
    </w:p>
    <w:p>
      <w:pPr>
        <w:jc w:val="left"/>
      </w:pPr>
      <w:r>
        <w:rPr>
          <w:b/>
        </w:rPr>
        <w:t>Verfasser:</w:t>
      </w:r>
      <w:r>
        <w:t xml:space="preserve"> Sozietät Reinkeller Sanierungsrecht, intern</w:t>
      </w:r>
    </w:p>
    <w:p>
      <w:pPr>
        <w:jc w:val="left"/>
      </w:pPr>
      <w:r>
        <w:rPr>
          <w:b/>
        </w:rPr>
        <w:t>Datum:</w:t>
      </w:r>
      <w:r>
        <w:t xml:space="preserve"> 10.04.2026</w:t>
      </w:r>
    </w:p>
    <w:p>
      <w:pPr>
        <w:pStyle w:val="Heading2"/>
      </w:pPr>
      <w:r>
        <w:rPr>
          <w:rFonts w:ascii="Times New Roman" w:hAnsi="Times New Roman"/>
        </w:rPr>
        <w:t>I. Bestellung und Aufgaben des RB</w:t>
      </w:r>
    </w:p>
    <w:p>
      <w:pPr>
        <w:pStyle w:val="Heading3"/>
      </w:pPr>
      <w:r>
        <w:rPr>
          <w:rFonts w:ascii="Times New Roman" w:hAnsi="Times New Roman"/>
        </w:rPr>
        <w:t>1. Bestellung</w:t>
      </w:r>
    </w:p>
    <w:p>
      <w:pPr>
        <w:jc w:val="left"/>
      </w:pPr>
      <w:r>
        <w:t>RB Dr. Andreas Vellenbach (Vellenbach + Cie, Berlin) wurde mit Beschluss des AG Cottbus (Restrukturierungsgericht) vom 17.03.2026 nach § 73 StaRUG zum Restrukturierungsbeauftragten bestellt.</w:t>
      </w:r>
    </w:p>
    <w:p>
      <w:pPr>
        <w:pStyle w:val="Heading3"/>
      </w:pPr>
      <w:r>
        <w:rPr>
          <w:rFonts w:ascii="Times New Roman" w:hAnsi="Times New Roman"/>
        </w:rPr>
        <w:t>2. Aufgaben (§§ 75 ff. StaRUG)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Pruefung des Plans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RB prüft Plan auf Tragfähigkeit, Vollständigkeit, Glaubigereinstellung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Betreuung der Plan-Abstimmungen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RB stellt sicher, dass die Abstimmungsversammlung ordnungsgemaess durchgeführt wird (§ 74 StaRUG)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RB erstellt Sanierungsbericht (§ 76 StaRUG)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Vermittlung Gläubigerverhandlung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Bedarf vermittelnd zwischen Schuldnerin und Gläubigergruppen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 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zu Anordnungen des Restrukturierungsgerichts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 über den Schuldner während Stabilisierungsanordnung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RB-Haftung</w:t>
      </w:r>
    </w:p>
    <w:p>
      <w:pPr>
        <w:pStyle w:val="Heading3"/>
      </w:pPr>
      <w:r>
        <w:rPr>
          <w:rFonts w:ascii="Times New Roman" w:hAnsi="Times New Roman"/>
        </w:rPr>
        <w:t>1. § 75 Abs. 4 StaRUG i.V.m. § 60 InsO</w:t>
      </w:r>
    </w:p>
    <w:p>
      <w:pPr>
        <w:jc w:val="left"/>
      </w:pPr>
      <w:r>
        <w:t>§ 75 Abs. 4 StaRUG erklärt § 60 InsO sinngemäß anwendbar. Der RB haftet allen Beteiligten für schuldhafte Pflichtverletzungen.</w:t>
      </w:r>
    </w:p>
    <w:p>
      <w:pPr>
        <w:pStyle w:val="Heading3"/>
      </w:pPr>
      <w:r>
        <w:rPr>
          <w:rFonts w:ascii="Times New Roman" w:hAnsi="Times New Roman"/>
        </w:rPr>
        <w:t>2. Konkrete Pflicht im Steuer-Kontext</w:t>
      </w:r>
    </w:p>
    <w:p>
      <w:pPr>
        <w:jc w:val="left"/>
      </w:pPr>
      <w:r>
        <w:t>Hat der RB eine Pflicht zur Beachtung der § 3a EStG-Antragstellung der Schuldnerin? Im Detail: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Erfasst durch RB?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 der Schuldnerin zu steuerlichen Folgen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Nein, das ist Steuerberater (StB Werner, StB Vogelweid)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 über Steuererklaerungs-Pflichten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originär; nur soweit für die Plan-Tragfähigkeit relevant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Sicherstellung der § 3a EStG-Antragstellung im Plan-Vorbereitung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  <w:r>
              <w:rPr>
                <w:rFonts w:ascii="Times New Roman" w:hAnsi="Times New Roman"/>
                <w:sz w:val="20"/>
              </w:rPr>
              <w:t xml:space="preserve"> — soweit dies Voraussetzung für die Sanierungseignung 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Pruefung der Steuer-Sanierungsfähigkeit im Sanierungsbericht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  <w:r>
              <w:rPr>
                <w:rFonts w:ascii="Times New Roman" w:hAnsi="Times New Roman"/>
                <w:sz w:val="20"/>
              </w:rPr>
              <w:t xml:space="preserve"> (§ 76 StaRUG-konformer Sanierungsbericht muss Steuer-Risiken bewerten)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 Im Streitfall Pellbach</w:t>
      </w:r>
    </w:p>
    <w:p>
      <w:pPr>
        <w:jc w:val="left"/>
      </w:pPr>
      <w:r>
        <w:t>Der RB Vellenbach hat im Sanierungsbericht vom 02.06.2026 (vor Plan-Vorlage) ausdrücklich auf die Notwendigkeit der § 3a EStG-Antragstellung hingewiesen und festgestellt, dass die Sozietät Reinkeller den Antrag am 27.05.2026 fristgerecht eingereicht hat. Damit hat der RB seine Aufsichts- und Berichtspflicht erfüllt; keine RB-Haftung.</w:t>
      </w:r>
    </w:p>
    <w:p>
      <w:pPr>
        <w:pStyle w:val="Heading3"/>
      </w:pPr>
      <w:r>
        <w:rPr>
          <w:rFonts w:ascii="Times New Roman" w:hAnsi="Times New Roman"/>
        </w:rPr>
        <w:t>4. Restrisiko</w:t>
      </w:r>
    </w:p>
    <w:p>
      <w:pPr>
        <w:jc w:val="left"/>
      </w:pPr>
      <w:r>
        <w:t>Falls der § 3a IV EStG-Antrag wegen DES-Werthaltigkeit oder § 8d KStG-Problemen scheitern sollte und dies bereits zum Zeitpunkt der Plan-Vorlage erkennbar war, könnte sich eine RB-Haftung wegen unzulänglicher Steuer-Risikoanalyse ergeben. Hier:</w:t>
      </w:r>
    </w:p>
    <w:p>
      <w:pPr>
        <w:pStyle w:val="ListBullet"/>
      </w:pPr>
      <w:r>
        <w:t>WP Buchner &amp; Voltz hat das DES-Werthaltigkeits-Gutachten am 15.05.2026 final vorgelegt.</w:t>
      </w:r>
    </w:p>
    <w:p>
      <w:pPr>
        <w:pStyle w:val="ListBullet"/>
      </w:pPr>
      <w:r>
        <w:t>FA Cottbus hat in der Zwischenstand-Antwort 26.05.2026 die Anwendbarkeit von § 3a EStG bestätigt.</w:t>
      </w:r>
    </w:p>
    <w:p>
      <w:pPr>
        <w:pStyle w:val="ListBullet"/>
      </w:pPr>
      <w:r>
        <w:t>Damit kein RB-Haftungsrisiko erkennbar.</w:t>
      </w:r>
    </w:p>
    <w:p>
      <w:pPr>
        <w:pStyle w:val="Heading2"/>
      </w:pPr>
      <w:r>
        <w:rPr>
          <w:rFonts w:ascii="Times New Roman" w:hAnsi="Times New Roman"/>
        </w:rPr>
        <w:t>III. Sachwalter-Aufgaben? Gibt es im StaRUG einen Sachwalter?</w:t>
      </w:r>
    </w:p>
    <w:p>
      <w:pPr>
        <w:jc w:val="left"/>
      </w:pPr>
      <w:r>
        <w:rPr>
          <w:b/>
        </w:rPr>
        <w:t>Nein.</w:t>
      </w:r>
      <w:r>
        <w:t xml:space="preserve"> Im StaRUG-Verfahren gibt es nur den Restrukturierungsbeauftragten (§ 73 StaRUG). Es gibt keinen Sachwalter wie in der Eigenverwaltung (§ 274 InsO Insolvenzplan-Variante).</w:t>
      </w:r>
    </w:p>
    <w:p>
      <w:pPr>
        <w:jc w:val="left"/>
      </w:pPr>
      <w:r>
        <w:t xml:space="preserve">Allerdings kann eine </w:t>
      </w:r>
      <w:r>
        <w:rPr>
          <w:b/>
        </w:rPr>
        <w:t>Stabilisierungsanordnung</w:t>
      </w:r>
      <w:r>
        <w:t xml:space="preserve"> nach § 49 StaRUG erlassen werden, die einem Verwertungs- und Vollstreckungsverbot dient. Hier: AG Cottbus hat eine Stabilisierungsanordnung am 17.03.2026 erlassen, gültig für 3 Monate (bis 17.06.2026), verlängerbar.</w:t>
      </w:r>
    </w:p>
    <w:p>
      <w:pPr>
        <w:pStyle w:val="Heading2"/>
      </w:pPr>
      <w:r>
        <w:rPr>
          <w:rFonts w:ascii="Times New Roman" w:hAnsi="Times New Roman"/>
        </w:rPr>
        <w:t>IV. Gegenüberstellung Insolvenzplan vs. StaRUG-Plan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Insolvenzplan (z. B. Akte 1 Grossbach)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StaRUG-Plan (Akte 2 Pellbach)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Verfahrensorgan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Insolvenzverwalter (IV) oder Sachwalter (Eigenverwaltung)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Restrukturierungsbeauftragter (RB)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Restrukturierungsgericht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Aufsichtsfunktion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Sachwalter während Eigenverwaltung (§ 274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bei StaRUG (§ 73 StaRUG)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Plan-Schwellen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248 InsO — Bestätigung durch Insolvenzgericht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60 StaRUG — Bestätigung durch Restrukturierungsgericht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Gläubigerumfang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Gläubiger im Insolvenzverfahren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betroffene Plan-Gruppen (auswählbar)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60 InsO i.V.m. Sachwalter / IV-Haftung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75 Abs. 4 StaRUG (Verweis auf § 60 InsO)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Steuerliche Folgen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EStG bei unternehmensbezogener Sanierung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EStG (gleiche Voraussetzungen)</w:t>
            </w:r>
          </w:p>
        </w:tc>
      </w:tr>
    </w:tbl>
    <w:p>
      <w:pPr>
        <w:jc w:val="left"/>
      </w:pPr>
      <w:r>
        <w:t>In beiden Verfahren ist die § 3a EStG-Begleitung Aufgabe der Steuerberater der Schuldnerin; das Verfahrensorgan hat eine Aufsichts- und Beratungsfunktion, nicht eine eigene Antragsstellungs-Pflicht.</w:t>
      </w:r>
    </w:p>
    <w:p>
      <w:pPr>
        <w:pStyle w:val="Heading2"/>
      </w:pPr>
      <w:r>
        <w:rPr>
          <w:rFonts w:ascii="Times New Roman" w:hAnsi="Times New Roman"/>
        </w:rPr>
        <w:t>V. Im Konkreten — Aufgabenmatrix Pellbach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3a IV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 /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27.05.2026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 /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27.05.2026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89 AO verbindliche Auskunft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 /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02.05.2026; Zwischenstand 26.05.2026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8d KStG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Steuererklaerung 2026, Frist 31.10.2026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DES-Werthaltigkeitsgutachten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WP Buchner &amp; Voltz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Sanierungsbericht des RB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Vellenbach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vorgelegt 02.06.2026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Plan-Vorlage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Geschäftsführung + Reinkeller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erfolgt 30.05.2026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Plan-Abstimmung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Vellenbach + Banken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Cottbus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VI. Haftungspotenzial andere Berater?</w:t>
      </w:r>
    </w:p>
    <w:p>
      <w:pPr>
        <w:pStyle w:val="Heading3"/>
      </w:pPr>
      <w:r>
        <w:rPr>
          <w:rFonts w:ascii="Times New Roman" w:hAnsi="Times New Roman"/>
        </w:rPr>
        <w:t>1. StB Werner</w:t>
      </w:r>
    </w:p>
    <w:p>
      <w:pPr>
        <w:jc w:val="left"/>
      </w:pPr>
      <w:r>
        <w:t>StB Werner hat den Antrag fristgerecht und in Abstimmung mit StB Vogelweid eingereicht. Keine Haftung erkennbar.</w:t>
      </w:r>
    </w:p>
    <w:p>
      <w:pPr>
        <w:pStyle w:val="Heading3"/>
      </w:pPr>
      <w:r>
        <w:rPr>
          <w:rFonts w:ascii="Times New Roman" w:hAnsi="Times New Roman"/>
        </w:rPr>
        <w:t>2. StB Vogelweid</w:t>
      </w:r>
    </w:p>
    <w:p>
      <w:pPr>
        <w:jc w:val="left"/>
      </w:pPr>
      <w:r>
        <w:t>Sozietät Reinkeller (Steuerteam) hat die Antragsstrategie konzipiert und ausgeführt. Keine Haftung erkennbar.</w:t>
      </w:r>
    </w:p>
    <w:p>
      <w:pPr>
        <w:pStyle w:val="Heading3"/>
      </w:pPr>
      <w:r>
        <w:rPr>
          <w:rFonts w:ascii="Times New Roman" w:hAnsi="Times New Roman"/>
        </w:rPr>
        <w:t>3. RA Reinkeller</w:t>
      </w:r>
    </w:p>
    <w:p>
      <w:pPr>
        <w:jc w:val="left"/>
      </w:pPr>
      <w:r>
        <w:t>Hauptverantwortlich für die Sanierungsbegleitung. Keine Haftung erkennbar.</w:t>
      </w:r>
    </w:p>
    <w:p>
      <w:pPr>
        <w:pStyle w:val="Heading3"/>
      </w:pPr>
      <w:r>
        <w:rPr>
          <w:rFonts w:ascii="Times New Roman" w:hAnsi="Times New Roman"/>
        </w:rPr>
        <w:t>4. RB Vellenbach</w:t>
      </w:r>
    </w:p>
    <w:p>
      <w:pPr>
        <w:jc w:val="left"/>
      </w:pPr>
      <w:r>
        <w:t>RB-Haftung nur bei schuldhafter Pflichtverletzung. Keine erkennbar.</w:t>
      </w:r>
    </w:p>
    <w:p>
      <w:pPr>
        <w:pStyle w:val="Heading2"/>
      </w:pPr>
      <w:r>
        <w:rPr>
          <w:rFonts w:ascii="Times New Roman" w:hAnsi="Times New Roman"/>
        </w:rPr>
        <w:t>VII. Schluss</w:t>
      </w:r>
    </w:p>
    <w:p>
      <w:pPr>
        <w:jc w:val="left"/>
      </w:pPr>
      <w:r>
        <w:t>In der Pellbach-Akte ist die Beraterstrategie pflichtgemaess; keine Haftungslage erkennbar. RB Vellenbach hat alle Aufsichts- und Beratungspflichten erfüllt. StB Werner und StB Vogelweid haben die Anträge rechtzeitig und vollständig gestellt.</w:t>
      </w:r>
    </w:p>
    <w:p>
      <w:pPr>
        <w:jc w:val="left"/>
      </w:pPr>
      <w:r>
        <w:t>— gez. Reinkeller (RA), 10.04.2026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