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Szenario-Vergleich — StaRUG-Plan mit und ohne Debt-Equity-Swap</w:t>
      </w:r>
    </w:p>
    <w:p>
      <w:pPr>
        <w:pStyle w:val="Heading2"/>
      </w:pPr>
      <w:r>
        <w:rPr>
          <w:rFonts w:ascii="Times New Roman" w:hAnsi="Times New Roman"/>
        </w:rPr>
        <w:t>Hypothesen</w:t>
      </w:r>
    </w:p>
    <w:p>
      <w:pPr>
        <w:jc w:val="left"/>
      </w:pPr>
      <w:r>
        <w:t>In dieser Vergleichsrechnung werden zwei alternative Plan-Varianten gegenübergestellt:</w:t>
      </w:r>
    </w:p>
    <w:p>
      <w:pPr>
        <w:pStyle w:val="ListBullet"/>
      </w:pPr>
      <w:r>
        <w:rPr>
          <w:b/>
        </w:rPr>
        <w:t>Variante A:</w:t>
      </w:r>
      <w:r>
        <w:t xml:space="preserve"> Plan mit Forderungsverzicht 22 Mio EUR und DES 8 Mio EUR (Anteilsübertragung 35 % an Banken).</w:t>
      </w:r>
    </w:p>
    <w:p>
      <w:pPr>
        <w:pStyle w:val="ListBullet"/>
      </w:pPr>
      <w:r>
        <w:rPr>
          <w:b/>
        </w:rPr>
        <w:t>Variante B:</w:t>
      </w:r>
      <w:r>
        <w:t xml:space="preserve"> Plan mit reinem Forderungsverzicht 30 Mio EUR (keine Anteilsübertragung).</w:t>
      </w:r>
    </w:p>
    <w:p>
      <w:pPr>
        <w:pStyle w:val="Heading2"/>
      </w:pPr>
      <w:r>
        <w:rPr>
          <w:rFonts w:ascii="Times New Roman" w:hAnsi="Times New Roman"/>
        </w:rPr>
        <w:t>I. Wirtschaftliche Eckdaten</w:t>
      </w:r>
    </w:p>
    <w:p>
      <w:pPr>
        <w:pStyle w:val="Heading3"/>
      </w:pPr>
      <w:r>
        <w:rPr>
          <w:rFonts w:ascii="Times New Roman" w:hAnsi="Times New Roman"/>
        </w:rPr>
        <w:t>Variante A (mit 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(Banken-Anteile 35 %)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Forderungsmilderung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 (Banken-Cash-Stützung)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 direkter Cash; DES gibt Banken Anteile, aber keine Liquidität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Variante B (ohne DES, reiner Verzicht)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Forderungsmilderung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 direkter Cash; Banken müssen aber den Verzicht ohne Ausgleich akzeptieren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Steuerlich (vergleichend)</w:t>
      </w:r>
    </w:p>
    <w:p>
      <w:pPr>
        <w:pStyle w:val="Heading3"/>
      </w:pPr>
      <w:r>
        <w:rPr>
          <w:rFonts w:ascii="Times New Roman" w:hAnsi="Times New Roman"/>
        </w:rPr>
        <w:t>Variante A — Sanierungsertrag (mit 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DES-Sanierungsertrag-Anteil (WP-Werthaltigkeit 5,2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konsolidiert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  <w:r>
              <w:rPr>
                <w:rFonts w:ascii="Times New Roman" w:hAnsi="Times New Roman"/>
                <w:sz w:val="20"/>
              </w:rPr>
              <w:t xml:space="preserve"> (steuerfrei nach § 3a EStG)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Variante B — Sanierungsertrag (reiner Verzicht 30 Mio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  <w:r>
              <w:rPr>
                <w:rFonts w:ascii="Times New Roman" w:hAnsi="Times New Roman"/>
                <w:sz w:val="20"/>
              </w:rPr>
              <w:t xml:space="preserve"> (steuerfrei nach § 3a EStG)</w:t>
            </w:r>
          </w:p>
        </w:tc>
      </w:tr>
    </w:tbl>
    <w:p>
      <w:pPr>
        <w:jc w:val="left"/>
      </w:pPr>
      <w:r>
        <w:t>In beiden Varianten ist der Sanierungsertrag nach § 3a EStG steuerfrei (bei rechtzeitigem Antrag). Damit ist der Vergleich bei erfolgreichem § 3a EStG-Antrag steuerlich neutral.</w:t>
      </w:r>
    </w:p>
    <w:p>
      <w:pPr>
        <w:pStyle w:val="Heading2"/>
      </w:pPr>
      <w:r>
        <w:rPr>
          <w:rFonts w:ascii="Times New Roman" w:hAnsi="Times New Roman"/>
        </w:rPr>
        <w:t>III. Banken-Präferenz</w:t>
      </w:r>
    </w:p>
    <w:p>
      <w:pPr>
        <w:pStyle w:val="Heading3"/>
      </w:pPr>
      <w:r>
        <w:rPr>
          <w:rFonts w:ascii="Times New Roman" w:hAnsi="Times New Roman"/>
        </w:rPr>
        <w:t>Variante A (mit DES)</w:t>
      </w:r>
    </w:p>
    <w:p>
      <w:pPr>
        <w:pStyle w:val="ListBullet"/>
      </w:pPr>
      <w:r>
        <w:t>Banken erhalten 35 % Anteile (Beteiligungsbeteiligung).</w:t>
      </w:r>
    </w:p>
    <w:p>
      <w:pPr>
        <w:pStyle w:val="ListBullet"/>
      </w:pPr>
      <w:r>
        <w:t>Verlustabschreibung 22 Mio EUR (statt 30 Mio EUR).</w:t>
      </w:r>
    </w:p>
    <w:p>
      <w:pPr>
        <w:pStyle w:val="ListBullet"/>
      </w:pPr>
      <w:r>
        <w:t>Bei Plan-Erfolg: Banken partizipieren am Wertzuwachs der Pellbach Windenergie GmbH.</w:t>
      </w:r>
    </w:p>
    <w:p>
      <w:pPr>
        <w:pStyle w:val="ListBullet"/>
      </w:pPr>
      <w:r>
        <w:t>Bei Plan-Misserfolg: Anteile sind wertlos.</w:t>
      </w:r>
    </w:p>
    <w:p>
      <w:pPr>
        <w:jc w:val="left"/>
      </w:pPr>
      <w:r>
        <w:t xml:space="preserve">Banken-Sicht: </w:t>
      </w:r>
      <w:r>
        <w:rPr>
          <w:b/>
        </w:rPr>
        <w:t>bevorzugt</w:t>
      </w:r>
      <w:r>
        <w:t>, weil Upside-Potenzial.</w:t>
      </w:r>
    </w:p>
    <w:p>
      <w:pPr>
        <w:pStyle w:val="Heading3"/>
      </w:pPr>
      <w:r>
        <w:rPr>
          <w:rFonts w:ascii="Times New Roman" w:hAnsi="Times New Roman"/>
        </w:rPr>
        <w:t>Variante B (reiner Verzicht)</w:t>
      </w:r>
    </w:p>
    <w:p>
      <w:pPr>
        <w:pStyle w:val="ListBullet"/>
      </w:pPr>
      <w:r>
        <w:t>Banken haben keine Anteile.</w:t>
      </w:r>
    </w:p>
    <w:p>
      <w:pPr>
        <w:pStyle w:val="ListBullet"/>
      </w:pPr>
      <w:r>
        <w:t>Verlustabschreibung 30 Mio EUR.</w:t>
      </w:r>
    </w:p>
    <w:p>
      <w:pPr>
        <w:pStyle w:val="ListBullet"/>
      </w:pPr>
      <w:r>
        <w:t>Bei Plan-Erfolg: Banken haben keine Beteiligung am Wertzuwachs.</w:t>
      </w:r>
    </w:p>
    <w:p>
      <w:pPr>
        <w:jc w:val="left"/>
      </w:pPr>
      <w:r>
        <w:t xml:space="preserve">Banken-Sicht: </w:t>
      </w:r>
      <w:r>
        <w:rPr>
          <w:b/>
        </w:rPr>
        <w:t>nicht bevorzugt</w:t>
      </w:r>
      <w:r>
        <w:t>, weil kein Upside.</w:t>
      </w:r>
    </w:p>
    <w:p>
      <w:pPr>
        <w:pStyle w:val="Heading2"/>
      </w:pPr>
      <w:r>
        <w:rPr>
          <w:rFonts w:ascii="Times New Roman" w:hAnsi="Times New Roman"/>
        </w:rPr>
        <w:t>IV. Schuldnerin-Präferenz</w:t>
      </w:r>
    </w:p>
    <w:p>
      <w:pPr>
        <w:pStyle w:val="Heading3"/>
      </w:pPr>
      <w:r>
        <w:rPr>
          <w:rFonts w:ascii="Times New Roman" w:hAnsi="Times New Roman"/>
        </w:rPr>
        <w:t>Variante A (mit DES)</w:t>
      </w:r>
    </w:p>
    <w:p>
      <w:pPr>
        <w:pStyle w:val="ListBullet"/>
      </w:pPr>
      <w:r>
        <w:t>Mehr Forderungsmilderung (22 + 8 = 30, vs. nur 30 Mio EUR).</w:t>
      </w:r>
    </w:p>
    <w:p>
      <w:pPr>
        <w:pStyle w:val="ListBullet"/>
      </w:pPr>
      <w:r>
        <w:t>Aber: 35 % Anteilsverlust für die Familie Pellbach.</w:t>
      </w:r>
    </w:p>
    <w:p>
      <w:pPr>
        <w:pStyle w:val="ListBullet"/>
      </w:pPr>
      <w:r>
        <w:t>§ 8c KStG-Problematik (mit § 8d KStG-Antrag abgefangen).</w:t>
      </w:r>
    </w:p>
    <w:p>
      <w:pPr>
        <w:pStyle w:val="Heading3"/>
      </w:pPr>
      <w:r>
        <w:rPr>
          <w:rFonts w:ascii="Times New Roman" w:hAnsi="Times New Roman"/>
        </w:rPr>
        <w:t>Variante B (reiner Verzicht)</w:t>
      </w:r>
    </w:p>
    <w:p>
      <w:pPr>
        <w:pStyle w:val="ListBullet"/>
      </w:pPr>
      <w:r>
        <w:t>Familie behält 100 % Anteile.</w:t>
      </w:r>
    </w:p>
    <w:p>
      <w:pPr>
        <w:pStyle w:val="ListBullet"/>
      </w:pPr>
      <w:r>
        <w:t>Aber: Schuldnerin muss Banken vom höheren Verzicht überzeugen (politisch unwahrscheinlich).</w:t>
      </w:r>
    </w:p>
    <w:p>
      <w:pPr>
        <w:pStyle w:val="ListBullet"/>
      </w:pPr>
      <w:r>
        <w:t>Kein § 8c KStG-Problem.</w:t>
      </w:r>
    </w:p>
    <w:p>
      <w:pPr>
        <w:jc w:val="left"/>
      </w:pPr>
      <w:r>
        <w:t xml:space="preserve">Schuldnerin-Sicht: </w:t>
      </w:r>
      <w:r>
        <w:rPr>
          <w:b/>
        </w:rPr>
        <w:t>Variante A</w:t>
      </w:r>
      <w:r>
        <w:t xml:space="preserve"> ist realistisch, weil Banken höhere Beteiligung wollen.</w:t>
      </w:r>
    </w:p>
    <w:p>
      <w:pPr>
        <w:pStyle w:val="Heading2"/>
      </w:pPr>
      <w:r>
        <w:rPr>
          <w:rFonts w:ascii="Times New Roman" w:hAnsi="Times New Roman"/>
        </w:rPr>
        <w:t>V. EU-Beihilfe-Aspekte</w:t>
      </w:r>
    </w:p>
    <w:p>
      <w:pPr>
        <w:pStyle w:val="Heading3"/>
      </w:pPr>
      <w:r>
        <w:rPr>
          <w:rFonts w:ascii="Times New Roman" w:hAnsi="Times New Roman"/>
        </w:rPr>
        <w:t>Variante A (mit DES)</w:t>
      </w:r>
    </w:p>
    <w:p>
      <w:pPr>
        <w:pStyle w:val="ListBullet"/>
      </w:pPr>
      <w:r>
        <w:t>DES ist kein klassischer Verzicht; Banken erhalten Anteile.</w:t>
      </w:r>
    </w:p>
    <w:p>
      <w:pPr>
        <w:pStyle w:val="ListBullet"/>
      </w:pPr>
      <w:r>
        <w:t xml:space="preserve">ILB ist öffentliche Bank (Investitionsbank Brandenburg). Frage: Ist die ILB-Beteiligung am Konsortium </w:t>
      </w:r>
      <w:r>
        <w:rPr>
          <w:b/>
        </w:rPr>
        <w:t>als öffentliche Banken-Beteiligung</w:t>
      </w:r>
      <w:r>
        <w:t xml:space="preserve"> EU-beihilferechtlich relevant?</w:t>
      </w:r>
    </w:p>
    <w:p>
      <w:pPr>
        <w:pStyle w:val="ListBullet"/>
      </w:pPr>
      <w:r>
        <w:t>Pruefung Altmark-Trans-Kriterien: Wenn ILB als Marktteilnehmerin agiert (zu Marktbedingungen), keine Beihilfe.</w:t>
      </w:r>
    </w:p>
    <w:p>
      <w:pPr>
        <w:pStyle w:val="ListBullet"/>
      </w:pPr>
      <w:r>
        <w:t xml:space="preserve">Hier: ILB nimmt an den gleichen Verzichtskonditionen wie NordKurland und Commerzbank teil. Keine Bevorzugung erkennbar. </w:t>
      </w:r>
      <w:r>
        <w:rPr>
          <w:b/>
        </w:rPr>
        <w:t>Keine EU-Beihilfe.</w:t>
      </w:r>
    </w:p>
    <w:p>
      <w:pPr>
        <w:pStyle w:val="Heading3"/>
      </w:pPr>
      <w:r>
        <w:rPr>
          <w:rFonts w:ascii="Times New Roman" w:hAnsi="Times New Roman"/>
        </w:rPr>
        <w:t>Variante B (reiner Verzicht)</w:t>
      </w:r>
    </w:p>
    <w:p>
      <w:pPr>
        <w:pStyle w:val="ListBullet"/>
      </w:pPr>
      <w:r>
        <w:t>Wenn ILB pro rata ihres Anteils verzichtet (4,4 Mio EUR von 22 Mio EUR für Variante A; Variante B wäre 6 Mio EUR von 30 Mio EUR), gleichermassen kein Marktverhalten unterstellt.</w:t>
      </w:r>
    </w:p>
    <w:p>
      <w:pPr>
        <w:pStyle w:val="ListBullet"/>
      </w:pPr>
      <w:r>
        <w:t xml:space="preserve">Hier: Keine ILB-spezifische Begunstigung. </w:t>
      </w:r>
      <w:r>
        <w:rPr>
          <w:b/>
        </w:rPr>
        <w:t>Keine EU-Beihilfe.</w:t>
      </w:r>
    </w:p>
    <w:p>
      <w:pPr>
        <w:jc w:val="left"/>
      </w:pPr>
      <w:r>
        <w:t xml:space="preserve">In beiden Varianten </w:t>
      </w:r>
      <w:r>
        <w:rPr>
          <w:b/>
        </w:rPr>
        <w:t>keine EU-Beihilfe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VI. Steuerliche Sanity-Pruefung — Variante A (Plan-Vorlage)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(Verzicht + DES)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/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-15.800.000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 2026 (mit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2026 (ohne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2.820.000 KSt + 155.100 Soli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2.488.500 GewSt = ges. 5.463.600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VII. Steuerliche Sanity-Pruefung — Variante B (kontrastiv)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(reiner Verzicht)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/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-21.000.000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 2026 (mit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2026 (ohne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3.600.000 KSt + 198.000 Soli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3.307.500 GewSt = ges. 7.105.500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VIII. Entscheidung</w:t>
      </w:r>
    </w:p>
    <w:p>
      <w:pPr>
        <w:jc w:val="left"/>
      </w:pPr>
      <w:r>
        <w:t>Variante A ist sowohl banken- als auch steuerlich akzeptabel und wird im Plan-Dokument vorgelegt. Variante B ist hypothetisch (würde Banken-Konsens nicht erreichen) und dient nur dem Sanity-Prüfraster.</w:t>
      </w:r>
    </w:p>
    <w:p>
      <w:pPr>
        <w:pStyle w:val="Heading2"/>
      </w:pPr>
      <w:r>
        <w:rPr>
          <w:rFonts w:ascii="Times New Roman" w:hAnsi="Times New Roman"/>
        </w:rPr>
        <w:t>IX. Sensitivität DES-Werthaltigkeit</w:t>
      </w:r>
    </w:p>
    <w:p>
      <w:pPr>
        <w:jc w:val="left"/>
      </w:pPr>
      <w:r>
        <w:t>Variante A — Sanierungsertrag in Abhängigkeit der DES-Werthaltigkeit: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Werthaltigkeit DES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Sanierungsertrag konsolidiert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nach Verlust (KSt 6 Mio)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Steuer ohne § 3a (EUR)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Buchner &amp; Voltz (final)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Vellenbach-Prognose (vorab)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Werner konservativ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6.301.500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Banken liberal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4.722.750</w:t>
            </w:r>
          </w:p>
        </w:tc>
      </w:tr>
    </w:tbl>
    <w:p>
      <w:pPr>
        <w:jc w:val="left"/>
      </w:pPr>
      <w:r>
        <w:t>In allen Werthaltigkeits-Varianten ist die Sanierung mit § 3a EStG steuerfrei. Ohne § 3a EStG variieren die Steuerlast 4,7 — 6,3 Mio EUR.</w:t>
      </w:r>
    </w:p>
    <w:p>
      <w:pPr>
        <w:pStyle w:val="Heading2"/>
      </w:pPr>
      <w:r>
        <w:rPr>
          <w:rFonts w:ascii="Times New Roman" w:hAnsi="Times New Roman"/>
        </w:rPr>
        <w:t>X. Ergebnis und Empfehlung</w:t>
      </w:r>
    </w:p>
    <w:p>
      <w:pPr>
        <w:jc w:val="left"/>
      </w:pPr>
      <w:r>
        <w:t>Variante A (mit DES, gemäß WP-Gutachten Buchner &amp; Voltz) ist die Plan-Vorlage. Die Sanierung ist steuerlich tragfähig, soweit die § 3a EStG- und § 7b GewStG-Anträge rechtzeitig gestellt sind (geschehen 27.05.2026). Risiko-Bewertung niedrig.</w:t>
      </w:r>
    </w:p>
    <w:p>
      <w:pPr>
        <w:jc w:val="left"/>
      </w:pPr>
      <w:r>
        <w:t>— gez. Vogelweid (StB), 25.05.2026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