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Mandantenbrief an Pellbach Windenergie GmbH — Glasklar Steuern nach StaRUG-Plan-Bestätigung</w:t>
      </w:r>
    </w:p>
    <w:p>
      <w:pPr>
        <w:jc w:val="left"/>
      </w:pPr>
      <w:r>
        <w:rPr>
          <w:b/>
        </w:rPr>
        <w:t>Absender:</w:t>
      </w:r>
      <w:r>
        <w:t xml:space="preserve"> Reinkeller Sanierungsrecht, Charlottenburger Ufer 6, 10623 Berlin</w:t>
      </w:r>
    </w:p>
    <w:p>
      <w:pPr>
        <w:jc w:val="left"/>
      </w:pPr>
      <w:r>
        <w:rPr>
          <w:b/>
        </w:rPr>
        <w:t>Empfänger:</w:t>
      </w:r>
      <w:r>
        <w:t xml:space="preserve"> Herr Heiko Pellbach (Geschäftsführer), Frau Christel Pellbach-Schwaegermann (Prokuristin), Pellbach Windenergie GmbH, Pueckler-Allee 12, 03048 Cottbus</w:t>
      </w:r>
    </w:p>
    <w:p>
      <w:pPr>
        <w:jc w:val="left"/>
      </w:pPr>
      <w:r>
        <w:rPr>
          <w:b/>
        </w:rPr>
        <w:t>Datum:</w:t>
      </w:r>
      <w:r>
        <w:t xml:space="preserve"> 03.08.2026</w:t>
      </w:r>
    </w:p>
    <w:p>
      <w:pPr>
        <w:jc w:val="left"/>
      </w:pPr>
      <w:r>
        <w:rPr>
          <w:b/>
        </w:rPr>
        <w:t>Mandats-Az:</w:t>
      </w:r>
      <w:r>
        <w:t xml:space="preserve"> Pellbach 2026/14-StaRUG</w:t>
      </w:r>
    </w:p>
    <w:p>
      <w:pPr>
        <w:jc w:val="left"/>
      </w:pPr>
      <w:r>
        <w:rPr>
          <w:b/>
        </w:rPr>
        <w:t>Bezug:</w:t>
      </w:r>
      <w:r>
        <w:t xml:space="preserve"> AG Cottbus 92 RES 14/26 (Plan-Bestätigung 02.07.2026; Rechtskraft 24.07.2026)</w:t>
      </w:r>
    </w:p>
    <w:p/>
    <w:p>
      <w:pPr>
        <w:jc w:val="left"/>
      </w:pPr>
      <w:r>
        <w:t>Sehr geehrte Frau Pellbach-Schwaegermann, sehr geehrter Herr Pellbach,</w:t>
      </w:r>
    </w:p>
    <w:p>
      <w:pPr>
        <w:jc w:val="left"/>
      </w:pPr>
      <w:r>
        <w:t xml:space="preserve">der Restrukturierungsplan vom 30.05.2026 ist mit Beschluss des AG Cottbus vom 02.07.2026 rechtskräftig bestätigt. Die Beschwerdefrist ist am 24.07.2026 ohne Beschwerde abgelaufen. Damit ist die StaRUG-Sanierung </w:t>
      </w:r>
      <w:r>
        <w:rPr>
          <w:b/>
        </w:rPr>
        <w:t>formal und materiell erfolgreich</w:t>
      </w:r>
      <w:r>
        <w:t>.</w:t>
      </w:r>
    </w:p>
    <w:p>
      <w:pPr>
        <w:jc w:val="left"/>
      </w:pPr>
      <w:r>
        <w:t xml:space="preserve">Wir berichten Ihnen vorab, dass die steuerliche Lage </w:t>
      </w:r>
      <w:r>
        <w:rPr>
          <w:b/>
        </w:rPr>
        <w:t>klärend positiv</w:t>
      </w:r>
      <w:r>
        <w:t xml:space="preserve"> ausgegangen ist:</w:t>
      </w:r>
    </w:p>
    <w:p>
      <w:pPr>
        <w:pStyle w:val="Heading2"/>
      </w:pPr>
      <w:r>
        <w:rPr>
          <w:rFonts w:ascii="Times New Roman" w:hAnsi="Times New Roman"/>
        </w:rPr>
        <w:t>I. Sachstand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 durch Banken-Konsortium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Debt-Equity-Swap durch Banken-Konsortium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8.000.000 (Anteilsübertragung 35 %, am 01.08.2026 vollzogen)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 durch Banken-Konsortium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5.000.000 (36 Monate, 2,5 % Zins)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Steuerlich relevanter Sanierungsertrag (mit DES-Anteil 2,8 Mio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Verlustvortrag KSt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Verlustvortrag GewSt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KSt (nach Verbrauch Verlustvortrag)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15.800.000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II. Steuerliche Bewertung</w:t>
      </w:r>
    </w:p>
    <w:p>
      <w:pPr>
        <w:jc w:val="left"/>
      </w:pPr>
      <w:r>
        <w:t xml:space="preserve">Die Anträge nach § 3a Abs. 4 EStG, § 7b GewStG und § 89 AO (verbindliche Auskunft) wurden </w:t>
      </w:r>
      <w:r>
        <w:rPr>
          <w:b/>
        </w:rPr>
        <w:t>rechtzeitig</w:t>
      </w:r>
      <w:r>
        <w:t xml:space="preserve"> beim Finanzamt Cottbus und beim Gewerbesteueramt der Stadt Cottbus gestellt: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Verbindliche Auskunft § 89 AO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Endgültige Auskunft 22.07.2026 — </w:t>
            </w:r>
            <w:r>
              <w:rPr>
                <w:rFonts w:ascii="Times New Roman" w:hAnsi="Times New Roman"/>
                <w:b/>
                <w:sz w:val="20"/>
              </w:rPr>
              <w:t>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3a Abs. 4 EStG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wird im KSt-Bescheid 2026 berücksichtigt — </w:t>
            </w:r>
            <w:r>
              <w:rPr>
                <w:rFonts w:ascii="Times New Roman" w:hAnsi="Times New Roman"/>
                <w:b/>
                <w:sz w:val="20"/>
              </w:rPr>
              <w:t>erwartet 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7b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wird im GewSt-Messbescheid 2026 berücksichtigt — </w:t>
            </w:r>
            <w:r>
              <w:rPr>
                <w:rFonts w:ascii="Times New Roman" w:hAnsi="Times New Roman"/>
                <w:b/>
                <w:sz w:val="20"/>
              </w:rPr>
              <w:t>erwartet 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8d KStG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Steuererklaerung 2026 (31.10.2026)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wird bearbeitet</w:t>
            </w:r>
          </w:p>
        </w:tc>
      </w:tr>
    </w:tbl>
    <w:p>
      <w:pPr>
        <w:jc w:val="left"/>
      </w:pPr>
      <w:r>
        <w:t>Das Finanzamt Cottbus hat in der endgültigen verbindlichen Auskunft vom 22.07.2026 ausdrücklich bestätigt, dass:</w:t>
      </w:r>
    </w:p>
    <w:p>
      <w:pPr>
        <w:ind w:left="567"/>
      </w:pPr>
      <w:r>
        <w:rPr>
          <w:i/>
        </w:rPr>
        <w:t>"Die Voraussetzungen der unternehmensbezogenen Sanierung i.S.v. § 3a Abs. 2 EStG erfüllt sind. Die Verlustverrechnung nach § 3a Abs. 3 EStG i.V.m. § 7b GewStG wird vorgenommen. Der verbleibende Sanierungsertrag in Höhe von 18,8 Mio EUR (KSt) und 15,8 Mio EUR (GewSt) ist nach § 3a Abs. 1 EStG bzw. § 7b GewStG steuerfrei zu stellen."</w:t>
      </w:r>
    </w:p>
    <w:p>
      <w:pPr>
        <w:pStyle w:val="Heading2"/>
      </w:pPr>
      <w:r>
        <w:rPr>
          <w:rFonts w:ascii="Times New Roman" w:hAnsi="Times New Roman"/>
        </w:rPr>
        <w:t>III. Ergebnis für Pellbach Windenergie GmbH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 (mit § 3a EStG-Befreiung)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Soli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Gesamt-Steuerlast aus Sanierungsertrag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jc w:val="left"/>
      </w:pPr>
      <w:r>
        <w:t xml:space="preserve">Die Sanierung ist </w:t>
      </w:r>
      <w:r>
        <w:rPr>
          <w:b/>
        </w:rPr>
        <w:t>ohne Steuerbelastung</w:t>
      </w:r>
      <w:r>
        <w:t xml:space="preserve"> tragfähig. Die Plan-Liquidität kann für den operativen Pivot zur Direktvermarktung und für die Restrukturierungskosten verwendet werden.</w:t>
      </w:r>
    </w:p>
    <w:p>
      <w:pPr>
        <w:pStyle w:val="Heading2"/>
      </w:pPr>
      <w:r>
        <w:rPr>
          <w:rFonts w:ascii="Times New Roman" w:hAnsi="Times New Roman"/>
        </w:rPr>
        <w:t>IV. Folgen für die nächsten Jahre</w:t>
      </w:r>
    </w:p>
    <w:p>
      <w:pPr>
        <w:pStyle w:val="ListBullet"/>
      </w:pPr>
      <w:r>
        <w:rPr>
          <w:b/>
        </w:rPr>
        <w:t>Verlustvorträge aufgezehrt.</w:t>
      </w:r>
      <w:r>
        <w:t xml:space="preserve"> Der KSt-Verlustvortrag (6 Mio EUR) und der GewSt-Verlustvortrag (9 Mio EUR) sind durch die zwingende Verrechnung nach § 3a Abs. 3 EStG aufgezehrt. Folgejahresgewinne 2027 ff. werden voll besteuert.</w:t>
      </w:r>
    </w:p>
    <w:p>
      <w:pPr>
        <w:pStyle w:val="ListBullet"/>
      </w:pPr>
      <w:r>
        <w:rPr>
          <w:b/>
        </w:rPr>
        <w:t>§ 8d KStG-Antrag wirksam.</w:t>
      </w:r>
      <w:r>
        <w:t xml:space="preserve"> Sollten Sie künftig erneut Verluste machen und ein weiterer Anteilsübertragung anstehen, ist der fortfuehrungsgebundene Verlustvortrag durch § 8d KStG geschützt — solange Sie den Geschäftsbetrieb unverändert fortführen.</w:t>
      </w:r>
    </w:p>
    <w:p>
      <w:pPr>
        <w:pStyle w:val="ListBullet"/>
      </w:pPr>
      <w:r>
        <w:rPr>
          <w:b/>
        </w:rPr>
        <w:t>Mindestbesteuerung § 10a GewStG.</w:t>
      </w:r>
      <w:r>
        <w:t xml:space="preserve"> Bei künftigen Gewerbeverlust-Verrechnungen ist die Mindestbesteuerung wieder zu beachten.</w:t>
      </w:r>
    </w:p>
    <w:p>
      <w:pPr>
        <w:pStyle w:val="Heading2"/>
      </w:pPr>
      <w:r>
        <w:rPr>
          <w:rFonts w:ascii="Times New Roman" w:hAnsi="Times New Roman"/>
        </w:rPr>
        <w:t>V. Was hätten Sie tun müssen, um das Ergebnis zu gefährden?</w:t>
      </w:r>
    </w:p>
    <w:p>
      <w:pPr>
        <w:jc w:val="left"/>
      </w:pPr>
      <w:r>
        <w:t xml:space="preserve">Vergleichen Sie unseren Erfolg mit dem Risikofall der </w:t>
      </w:r>
      <w:r>
        <w:rPr>
          <w:b/>
        </w:rPr>
        <w:t>Grossbach Druckguss &amp; Präzision GmbH &amp; Co. KG</w:t>
      </w:r>
      <w:r>
        <w:t xml:space="preserve"> in Erfurt (Insolvenzplan AG Erfurt 60 IN 188/26, Mandat unseres Partners RA Drosselberg): Dort hat der Steuerberater den § 3a IV EStG-Antrag erst </w:t>
      </w:r>
      <w:r>
        <w:rPr>
          <w:b/>
        </w:rPr>
        <w:t>sieben Tage nach Plan-Bestätigung</w:t>
      </w:r>
      <w:r>
        <w:t xml:space="preserve"> eingereicht. Das FA Erfurt prüft, ob es sich auf die Linie des FG Koeln, Urteil v. 04.11.2025 — 12 K 1413/25, beruft. Wenn ja, droht der Schuldnerin eine Steuerlast von ca. 8 Mio EUR.</w:t>
      </w:r>
    </w:p>
    <w:p>
      <w:pPr>
        <w:jc w:val="left"/>
      </w:pPr>
      <w:r>
        <w:t xml:space="preserve">Bei Ihnen ist das ausgeschlossen — die Anträge sind </w:t>
      </w:r>
      <w:r>
        <w:rPr>
          <w:b/>
        </w:rPr>
        <w:t>alle rechtzeitig</w:t>
      </w:r>
      <w:r>
        <w:t xml:space="preserve"> gestellt.</w:t>
      </w:r>
    </w:p>
    <w:p>
      <w:pPr>
        <w:pStyle w:val="Heading2"/>
      </w:pPr>
      <w:r>
        <w:rPr>
          <w:rFonts w:ascii="Times New Roman" w:hAnsi="Times New Roman"/>
        </w:rPr>
        <w:t>VI. Anteilsstruktur nach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Anteilsinhaber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Heiko Pellbach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Christel Pellbach-Schwaegermann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 Pellbach Vermögens-GmbH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NordKurland Bank 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17,5 %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Commerzbank 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10,5 %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Investitionsbank Brandenburg (ILB)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7 %</w:t>
            </w:r>
          </w:p>
        </w:tc>
      </w:tr>
    </w:tbl>
    <w:p>
      <w:pPr>
        <w:jc w:val="left"/>
      </w:pPr>
      <w:r>
        <w:t>Die Geschäftsführung bleibt bei Ihnen. Die Banken sind Finanzinvestoren ohne operative Rolle.</w:t>
      </w:r>
    </w:p>
    <w:p>
      <w:pPr>
        <w:pStyle w:val="Heading2"/>
      </w:pPr>
      <w:r>
        <w:rPr>
          <w:rFonts w:ascii="Times New Roman" w:hAnsi="Times New Roman"/>
        </w:rPr>
        <w:t>VII. Folgemassnahmen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HR-Eintragung der Kapitalerhöhung Banken-Anteilsübertragung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01.08.2026 (vollzogen)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 Reinhart Berlin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Steuererklaerung 2026 mit § 8d KStG-Antrag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31.10.2026 (Frist verlängert)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Werner / Vogelweid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KSt-Bescheid 2026 (mit § 3a EStG-Befreiung)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erwartet März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 Cottbus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GewSt-Messbescheid 2026 (mit § 7b GewStG-Befreiung)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erwartet März/April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Gewerbesteueramt Cottbus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Plan-Vollzugsbericht an Restrukturierungsgericht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Monate nach Plan-Rechtskraft, also Januar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RB Vellenbach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VIII. Honorar und Kosten</w:t>
      </w:r>
    </w:p>
    <w:p>
      <w:pPr>
        <w:jc w:val="left"/>
      </w:pPr>
      <w:r>
        <w:t>Wir berechnen Ihnen die Begleitung der Sanierung gem. unserer Honorarvereinbarung vom 22.03.2026 (Stundensatz RA 380 EUR; StB-Sozietaetspartner 320 EUR). Die Gebühr nach § 89 Abs. 3 AO (verbindliche Auskunft) i.H.v. 74.400 EUR ist mit den Plan-Verfahrenskosten verrechnet. Die WP-Gebühr Buchner &amp; Voltz (DES-Werthaltigkeitsgutachten) i.H.v. 38.000 EUR liegt ebenfalls im Plan-Budget.</w:t>
      </w:r>
    </w:p>
    <w:p>
      <w:pPr>
        <w:pStyle w:val="Heading2"/>
      </w:pPr>
      <w:r>
        <w:rPr>
          <w:rFonts w:ascii="Times New Roman" w:hAnsi="Times New Roman"/>
        </w:rPr>
        <w:t>IX. Nächster Termin</w:t>
      </w:r>
    </w:p>
    <w:p>
      <w:pPr>
        <w:jc w:val="left"/>
      </w:pPr>
      <w:r>
        <w:t xml:space="preserve">Mandantenbesprechung </w:t>
      </w:r>
      <w:r>
        <w:rPr>
          <w:b/>
        </w:rPr>
        <w:t>Mittwoch, 12.08.2026, 10:00 Uhr</w:t>
      </w:r>
      <w:r>
        <w:t>, Reinkeller-Sozietät Berlin oder per Videokonferenz. Tagesordnung: Plan-Vollzug, Q3-Strategie, Vorbereitung Steuererklaerung 2026, Vorbereitung HR-Eintragung Banken-Anteilsübertragung.</w:t>
      </w:r>
    </w:p>
    <w:p>
      <w:pPr>
        <w:jc w:val="left"/>
      </w:pPr>
      <w:r>
        <w:t>Mit freundlichen Gruessen</w:t>
      </w:r>
    </w:p>
    <w:p>
      <w:pPr>
        <w:jc w:val="left"/>
      </w:pPr>
      <w:r>
        <w:t>Dr. Hubertus Reinkeller</w:t>
      </w:r>
    </w:p>
    <w:p>
      <w:pPr>
        <w:jc w:val="left"/>
      </w:pPr>
      <w:r>
        <w:t>Rechtsanwalt</w:t>
      </w:r>
    </w:p>
    <w:p>
      <w:pPr>
        <w:jc w:val="left"/>
      </w:pPr>
      <w:r>
        <w:t>Fachanwalt für Insolvenz- und Sanierungsrecht</w:t>
      </w:r>
    </w:p>
    <w:p>
      <w:pPr>
        <w:jc w:val="left"/>
      </w:pPr>
      <w:r>
        <w:t>Reinkeller Sanierungsrecht</w:t>
      </w:r>
    </w:p>
    <w:p/>
    <w:p>
      <w:pPr>
        <w:jc w:val="left"/>
      </w:pPr>
      <w:r>
        <w:rPr>
          <w:b/>
        </w:rPr>
        <w:t>Anlagen:</w:t>
      </w:r>
    </w:p>
    <w:p>
      <w:pPr>
        <w:pStyle w:val="ListNumber"/>
      </w:pPr>
      <w:r>
        <w:t>Endgültige verbindliche Auskunft FA Cottbus v. 22.07.2026</w:t>
      </w:r>
    </w:p>
    <w:p>
      <w:pPr>
        <w:pStyle w:val="ListNumber"/>
      </w:pPr>
      <w:r>
        <w:t>Plan-Bestaetigungs-Beschluss AG Cottbus v. 02.07.2026</w:t>
      </w:r>
    </w:p>
    <w:p>
      <w:pPr>
        <w:pStyle w:val="ListNumber"/>
      </w:pPr>
      <w:r>
        <w:t>Banken-Konsortium-Vereinbarung mit DES-Details</w:t>
      </w:r>
    </w:p>
    <w:p>
      <w:pPr>
        <w:pStyle w:val="ListNumber"/>
      </w:pPr>
      <w:r>
        <w:t>Antrag § 3a IV EStG (Kopie ELSTER-Quittung)</w:t>
      </w:r>
    </w:p>
    <w:p>
      <w:pPr>
        <w:pStyle w:val="ListNumber"/>
      </w:pPr>
      <w:r>
        <w:t>WP-Gutachten Buchner &amp; Voltz v. 15.05.2026</w:t>
      </w:r>
    </w:p>
    <w:p>
      <w:pPr>
        <w:pStyle w:val="ListNumber"/>
      </w:pPr>
      <w:r>
        <w:t>Plan-Vollzugsplan (Sozietät Reinkeller)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