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Ehevertrag — Vermerk: Kein Ehevertrag vorhanden</w:t>
      </w:r>
    </w:p>
    <w:p>
      <w:pPr>
        <w:jc w:val="left"/>
      </w:pPr>
      <w:r>
        <w:t>Stand: Dezember 2024</w:t>
      </w:r>
    </w:p>
    <w:p>
      <w:pPr>
        <w:jc w:val="left"/>
      </w:pPr>
      <w:r>
        <w:t>Bearbeiterin: RAin Dr. Friederike Pohl-Krauss</w:t>
      </w:r>
    </w:p>
    <w:p/>
    <w:p>
      <w:pPr>
        <w:pStyle w:val="Heading2"/>
      </w:pPr>
      <w:r>
        <w:rPr>
          <w:rFonts w:ascii="Times New Roman" w:hAnsi="Times New Roman"/>
        </w:rPr>
        <w:t>1. Befund</w:t>
      </w:r>
    </w:p>
    <w:p>
      <w:pPr>
        <w:jc w:val="left"/>
      </w:pPr>
      <w:r>
        <w:t>Es besteht kein notarieller Ehevertrag. Hanna Trüffelberch hat im Erstgespräch ausdrücklich bestätigt, dass sie und Franz Trüffelberch bei der Eheschließung am 12.08.2008 keinen Ehevertrag geschlossen haben. Sie haben weder einen Gütertrennungs- noch einen Wahlgüterrechtsvertrag errichtet. Auch eine Modifikation des Zugewinnausgleichs oder ein Ausschluss des Versorgungsausgleichs wurde nicht vereinbart.</w:t>
      </w:r>
    </w:p>
    <w:p>
      <w:pPr>
        <w:jc w:val="left"/>
      </w:pPr>
      <w:r>
        <w:t>Hanna hat dies auf Nachfrage mehrfach bestätigt und erklärt, der Notar sei damals gar nicht erst Thema gewesen — „Wir dachten, das machen nur Reiche."</w:t>
      </w:r>
    </w:p>
    <w:p>
      <w:pPr>
        <w:jc w:val="left"/>
      </w:pPr>
      <w:r>
        <w:t>Zur Sicherheit wurde sie aufgefordert zu prüfen, ob in Erbangelegenheiten (Testament, Erbvertrag) oder in einem Gesellschaftsvertrag der PartGmbB güterrechtliche Regelungen enthalten sind. Beides wurde verneint. Der Gesellschaftsvertrag der PartGmbB enthält nach Hannas Angabe lediglich eine Ausnahmeklausel für den Fall der Zwangsvollstreckung in Gesellschaftsanteile durch einen Gläubiger eines Gesellschafters, aber keine eherechtliche Bestimmung.</w:t>
      </w:r>
    </w:p>
    <w:p/>
    <w:p>
      <w:pPr>
        <w:pStyle w:val="Heading2"/>
      </w:pPr>
      <w:r>
        <w:rPr>
          <w:rFonts w:ascii="Times New Roman" w:hAnsi="Times New Roman"/>
        </w:rPr>
        <w:t>2. Rechtliche Folge: Zugewinngemeinschaft kraft Gesetzes</w:t>
      </w:r>
    </w:p>
    <w:p>
      <w:pPr>
        <w:jc w:val="left"/>
      </w:pPr>
      <w:r>
        <w:t xml:space="preserve">Da kein Ehevertrag vorliegt und die Ehe nach deutschem Recht geschlossen wurde, gilt gemäß §§ 1363 ff. BGB der gesetzliche Güterstand der </w:t>
      </w:r>
      <w:r>
        <w:rPr>
          <w:b/>
        </w:rPr>
        <w:t>Zugewinngemeinschaft</w:t>
      </w:r>
      <w:r>
        <w:t>. Das bedeutet:</w:t>
      </w:r>
    </w:p>
    <w:p>
      <w:pPr>
        <w:pStyle w:val="ListBullet"/>
      </w:pPr>
      <w:r>
        <w:t>Während der Ehe bleibt das Vermögen jedes Ehegatten rechtlich getrennt (kein gemeinschaftliches Eigentum an Vermögensmassen).</w:t>
      </w:r>
    </w:p>
    <w:p>
      <w:pPr>
        <w:pStyle w:val="ListBullet"/>
      </w:pPr>
      <w:r>
        <w:t xml:space="preserve">Bei Beendigung der Zugewinngemeinschaft (hier durch Scheidung) findet ein </w:t>
      </w:r>
      <w:r>
        <w:rPr>
          <w:b/>
        </w:rPr>
        <w:t>Zugewinnausgleich</w:t>
      </w:r>
      <w:r>
        <w:t xml:space="preserve"> statt (§ 1378 BGB).</w:t>
      </w:r>
    </w:p>
    <w:p>
      <w:pPr>
        <w:pStyle w:val="ListBullet"/>
      </w:pPr>
      <w:r>
        <w:t>Ausgleichsberechtigter ist derjenige Ehegatte, dessen Zugewinn geringer ist als der des anderen.</w:t>
      </w:r>
    </w:p>
    <w:p/>
    <w:p>
      <w:pPr>
        <w:pStyle w:val="Heading2"/>
      </w:pPr>
      <w:r>
        <w:rPr>
          <w:rFonts w:ascii="Times New Roman" w:hAnsi="Times New Roman"/>
        </w:rPr>
        <w:t>3. Keine rückwirkende Änderung</w:t>
      </w:r>
    </w:p>
    <w:p>
      <w:pPr>
        <w:jc w:val="left"/>
      </w:pPr>
      <w:r>
        <w:t>Die Frage, ob nachträglich ein Ehevertrag errichtet werden kann, ist für unsere Mandantin nicht relevant: Sie hat keinen Anlass, eine Modifikation vorzunehmen, die ihre Verhandlungsposition verschlechtern würde. Theoretisch wäre eine notarielle Scheidungsfolgenvereinbarung möglich (§ 1408 BGB), die Zugewinn, Versorgungsausgleich und Unterhalt regelt. Hanna hat dazu kein Interesse signalisiert; sie vertraut auf die gesetzliche Regelung als Ausgangspunkt für Verhandlungen.</w:t>
      </w:r>
    </w:p>
    <w:p/>
    <w:p>
      <w:pPr>
        <w:pStyle w:val="Heading2"/>
      </w:pPr>
      <w:r>
        <w:rPr>
          <w:rFonts w:ascii="Times New Roman" w:hAnsi="Times New Roman"/>
        </w:rPr>
        <w:t>4. Relevante Risiken ohne Ehevertrag</w:t>
      </w:r>
    </w:p>
    <w:p>
      <w:pPr>
        <w:pStyle w:val="Heading3"/>
      </w:pPr>
      <w:r>
        <w:rPr>
          <w:rFonts w:ascii="Times New Roman" w:hAnsi="Times New Roman"/>
        </w:rPr>
        <w:t>4.1 Für Hanna</w:t>
      </w:r>
    </w:p>
    <w:p>
      <w:pPr>
        <w:jc w:val="left"/>
      </w:pPr>
      <w:r>
        <w:t>Das Architekturbüro (PartGmbB) ist formal Hannas Privatvermögen. Der Gesellschaftsanteil wächst also in ihren Zugewinn ein. Das Wirtschaftsgutachten (Aktenstück 18) wird den erheblichen Wertzuwachs des Büros dokumentieren. Ohne Ehevertrag fließt dieser Zuwachs vollständig in die Zugewinnberechnung ein.</w:t>
      </w:r>
    </w:p>
    <w:p>
      <w:pPr>
        <w:jc w:val="left"/>
      </w:pPr>
      <w:r>
        <w:t>Ein besonderes Problem entsteht dadurch, dass die Mitgesellschafterin Anne Ürgelheim — Hannas Schwester — zwar selbst kein Ehepartner im hiesigen Verfahren ist, aber der Gesellschaftsvertrag keine Liquidations- oder Abfindungsklausel für den Fall enthält, dass Hanna einen erheblichen Zugewinnausgleich zu leisten hat. Wird Hanna durch einen hohen Zugewinnausgleich gezwungen, liquide Mittel aufzubringen, kann das die Gesellschaft belasten.</w:t>
      </w:r>
    </w:p>
    <w:p>
      <w:pPr>
        <w:pStyle w:val="Heading3"/>
      </w:pPr>
      <w:r>
        <w:rPr>
          <w:rFonts w:ascii="Times New Roman" w:hAnsi="Times New Roman"/>
        </w:rPr>
        <w:t>4.2 Für Franz</w:t>
      </w:r>
    </w:p>
    <w:p>
      <w:pPr>
        <w:jc w:val="left"/>
      </w:pPr>
      <w:r>
        <w:t>Franz' Holzwerkstätten e.K. wurde 2018 gegründet — also während der Ehe. Das Anfangsvermögen ist daher 0 EUR (kein Anfangsvermögen, da zum Zeitpunkt der Eheschließung 2008 noch nicht existent). Der Zugewinn aus dem Betrieb fließt damit in voller Höhe in die Ausgleichsberechnung ein.</w:t>
      </w:r>
    </w:p>
    <w:p>
      <w:pPr>
        <w:jc w:val="left"/>
      </w:pPr>
      <w:r>
        <w:rPr>
          <w:b/>
        </w:rPr>
        <w:t>Hinweis:</w:t>
      </w:r>
      <w:r>
        <w:t xml:space="preserve"> Franz könnte versuchen, betriebliche Schulden oder Verbindlichkeiten geltend zu machen, die den Wert der Holzwerkstätten nach unten drücken. Eine gründliche Prüfung der Jahresabschlüsse und Steuerbescheide ist notwendig.</w:t>
      </w:r>
    </w:p>
    <w:p/>
    <w:p>
      <w:pPr>
        <w:pStyle w:val="Heading2"/>
      </w:pPr>
      <w:r>
        <w:rPr>
          <w:rFonts w:ascii="Times New Roman" w:hAnsi="Times New Roman"/>
        </w:rPr>
        <w:t>5. Ergebnis</w:t>
      </w:r>
    </w:p>
    <w:p>
      <w:pPr>
        <w:pStyle w:val="ListBullet"/>
      </w:pPr>
      <w:r>
        <w:t>Kein Ehevertrag vorhanden.</w:t>
      </w:r>
    </w:p>
    <w:p>
      <w:pPr>
        <w:pStyle w:val="ListBullet"/>
      </w:pPr>
      <w:r>
        <w:t>Güterstand: gesetzliche Zugewinngemeinschaft.</w:t>
      </w:r>
    </w:p>
    <w:p>
      <w:pPr>
        <w:pStyle w:val="ListBullet"/>
      </w:pPr>
      <w:r>
        <w:t>Zugewinnausgleich wird Kernstreitpunkt des Scheidungsverfahrens sein.</w:t>
      </w:r>
    </w:p>
    <w:p>
      <w:pPr>
        <w:pStyle w:val="ListBullet"/>
      </w:pPr>
      <w:r>
        <w:t>Bewertung beider Unternehmen ist entscheidend (Aktenstücke 11, 12, 18).</w:t>
      </w:r>
    </w:p>
    <w:p>
      <w:pPr>
        <w:pStyle w:val="ListBullet"/>
      </w:pPr>
      <w:r>
        <w:t>Kein Handlungsbedarf beim Ehevertrag; keine rückwirkende Änderung angestrebt.</w:t>
      </w:r>
    </w:p>
    <w:p/>
    <w:p>
      <w:pPr>
        <w:jc w:val="left"/>
      </w:pPr>
      <w:r>
        <w:t>Bearbeitungshinweis: Die Thematik „Ehevertrag" kann im Scheidungsverfahren durch die Gegenseite möglicherweise in Form einer behaupteten mündlichen Vereinbarung wieder aufgegriffen werden. Hannas Angaben wurden protokolliert. Zeugen für das Fehlen eines Ehevertrags sind nicht erforderlich; das Nichtvorhandensein eines notariellen Vertrags ist die Standardsituation und muss nicht bewiesen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