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Haushaltsstruktur und Betreuungsanteile</w:t>
      </w:r>
    </w:p>
    <w:p>
      <w:pPr>
        <w:jc w:val="left"/>
      </w:pPr>
      <w:r>
        <w:t>Stand: März 2025</w:t>
      </w:r>
    </w:p>
    <w:p>
      <w:pPr>
        <w:jc w:val="left"/>
      </w:pPr>
      <w:r>
        <w:t>Bearbeiterin: RAin Dr. Friederike Pohl-Krauss / RAin Helmstedt</w:t>
      </w:r>
    </w:p>
    <w:p>
      <w:pPr>
        <w:jc w:val="left"/>
      </w:pPr>
      <w:r>
        <w:t>Grundlage: Mandantengespräche, Fragebogen Hanna Trüffelberch (ausgefüllt 20.02.2025)</w:t>
      </w:r>
    </w:p>
    <w:p/>
    <w:p>
      <w:pPr>
        <w:pStyle w:val="Heading2"/>
      </w:pPr>
      <w:r>
        <w:rPr>
          <w:rFonts w:ascii="Times New Roman" w:hAnsi="Times New Roman"/>
        </w:rPr>
        <w:t>1. Wohnsituation</w:t>
      </w:r>
    </w:p>
    <w:p>
      <w:pPr>
        <w:jc w:val="left"/>
      </w:pPr>
      <w:r>
        <w:t>Hanna und die drei Kinder wohnen in der Lindener Hofstraße 47, 30449 Hannover-Linden. Das Haus ist ein freistehendes Einfamilienhaus, BJ ca. 1964, kernsaniert 2014–2015. Fünf Zimmer, Küche, zwei Bäder, kleiner Garten. Die Kinder haben jedes ein eigenes Zimmer.</w:t>
      </w:r>
    </w:p>
    <w:p>
      <w:pPr>
        <w:jc w:val="left"/>
      </w:pPr>
      <w:r>
        <w:t>Franz wohnt seit 14.11.2024 in einer Mietwohnung in der Burgweg 38, Hannover-Bothfeld. 3-Zimmer-Wohnung, ca. 78 qm, zur Miete. Die Kinder übernachten dort bei den vereinbarten Umgangswochenenden.</w:t>
      </w:r>
    </w:p>
    <w:p/>
    <w:p>
      <w:pPr>
        <w:pStyle w:val="Heading2"/>
      </w:pPr>
      <w:r>
        <w:rPr>
          <w:rFonts w:ascii="Times New Roman" w:hAnsi="Times New Roman"/>
        </w:rPr>
        <w:t>2. Schulische Situation der Kinder</w:t>
      </w:r>
    </w:p>
    <w:p>
      <w:pPr>
        <w:pStyle w:val="Heading3"/>
      </w:pPr>
      <w:r>
        <w:rPr>
          <w:rFonts w:ascii="Times New Roman" w:hAnsi="Times New Roman"/>
        </w:rPr>
        <w:t>Mara (15, Klasse 10)</w:t>
      </w:r>
    </w:p>
    <w:p>
      <w:pPr>
        <w:jc w:val="left"/>
      </w:pPr>
      <w:r>
        <w:t>Gymnasium Linden, Goetheschule, Lavesallee 12, 30169 Hannover. Mara ist nach Hannas Angaben schulisch gut (Zeugnis zuletzt: Durchschnitt 2,3), sozial engagiert, in einer Theater-AG aktiv. Sie fährt mit dem Fahrrad zur Schule (ca. 15 Minuten). Besondere Situation: Mara hat im Sommer 2024 gegenüber Hanna ihre Geschlechtsidentität thematisiert; Näheres in Aktenstück 10.</w:t>
      </w:r>
    </w:p>
    <w:p>
      <w:pPr>
        <w:pStyle w:val="Heading3"/>
      </w:pPr>
      <w:r>
        <w:rPr>
          <w:rFonts w:ascii="Times New Roman" w:hAnsi="Times New Roman"/>
        </w:rPr>
        <w:t>Jonas (12, Klasse 6)</w:t>
      </w:r>
    </w:p>
    <w:p>
      <w:pPr>
        <w:jc w:val="left"/>
      </w:pPr>
      <w:r>
        <w:t>IGS Linden-Süd, Deisterstraße 44, 30449 Hannover. Jonas hat einen regulären Schulweg (Bus, ca. 20 Minuten). Mitglied im Fußballverein TSV Linden-West. Training dienstags und donnerstags 16:30 Uhr, Spiele samstags. Hanna bringt und holt, soweit Franz nicht an dem Wochenende zuständig ist.</w:t>
      </w:r>
    </w:p>
    <w:p>
      <w:pPr>
        <w:pStyle w:val="Heading3"/>
      </w:pPr>
      <w:r>
        <w:rPr>
          <w:rFonts w:ascii="Times New Roman" w:hAnsi="Times New Roman"/>
        </w:rPr>
        <w:t>Lina (9, Klasse 4)</w:t>
      </w:r>
    </w:p>
    <w:p>
      <w:pPr>
        <w:jc w:val="left"/>
      </w:pPr>
      <w:r>
        <w:t>Grundschule Limmerstraße, Limmerstraße 34, 30449 Hannover. Lina geht zu Fuß (ca. 10 Minuten). Ballettunterricht montags 16:30 Uhr, Schwimmkurs donnerstags 15:30 Uhr (Hallenbad Linden). Beides organisiert und begleitet ausschließlich von Hanna; Franz war in der Vergangenheit hierbei selten eingebunden.</w:t>
      </w:r>
    </w:p>
    <w:p/>
    <w:p>
      <w:pPr>
        <w:pStyle w:val="Heading2"/>
      </w:pPr>
      <w:r>
        <w:rPr>
          <w:rFonts w:ascii="Times New Roman" w:hAnsi="Times New Roman"/>
        </w:rPr>
        <w:t>3. Wochenroutine unter Hanna (Regelzeitraum)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Hanna-Aufgaben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Frühstück, Schule (alle eigenständig), Lina: Ballett 16:30 (Hanna holt 18:00)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Frühstück, Schule; Jonas Training 16:30 (Hanna bringt/holt)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Frühstück, Schule; Umgangsabend Franz (holt 17:00, bringt 20:00 zurück)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Frühstück, Schule; Jonas Training + Linas Schwimmkurs (Parallellogistik)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Frühstück, Schule; Übergabe Franz 16:30 (an Franz-Wochenenden)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Alle zuhause (kein Franz-WE): Einkauf, Mara: Theater-AG; Jonas: Fußballspiel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Familientag, Hausaufgabenpflege Lina/Jonas</w:t>
            </w:r>
          </w:p>
        </w:tc>
      </w:tr>
    </w:tbl>
    <w:p>
      <w:pPr>
        <w:jc w:val="left"/>
      </w:pPr>
      <w:r>
        <w:t>Hanna ist ganztägig berufstätig; sie arbeitet im Homeoffice an zwei bis drei Tagen pro Woche. An Bürotagen (Dienstag und Donnerstag regelmäßig im Büro) greift sie auf eine Haushaltshilfe zurück (Frau Barbu, 12 Stunden/Woche). Frau Barbu holt Lina vom Schwimmkurs ab, wenn Hanna im Büro ist.</w:t>
      </w:r>
    </w:p>
    <w:p/>
    <w:p>
      <w:pPr>
        <w:pStyle w:val="Heading2"/>
      </w:pPr>
      <w:r>
        <w:rPr>
          <w:rFonts w:ascii="Times New Roman" w:hAnsi="Times New Roman"/>
        </w:rPr>
        <w:t>4. Franz-Umgang (aktuell praktiziert, nicht schriftlich fixiert)</w:t>
      </w:r>
    </w:p>
    <w:p>
      <w:pPr>
        <w:jc w:val="left"/>
      </w:pPr>
      <w:r>
        <w:rPr>
          <w:b/>
        </w:rPr>
        <w:t>14-tägiges Wochenende:</w:t>
      </w:r>
      <w:r>
        <w:t xml:space="preserve"> Freitag 16:30 Abholung bis Sonntag 18:00 Rückgabe.</w:t>
      </w:r>
    </w:p>
    <w:p>
      <w:pPr>
        <w:jc w:val="left"/>
      </w:pPr>
      <w:r>
        <w:rPr>
          <w:b/>
        </w:rPr>
        <w:t>Mittwochs-Abend:</w:t>
      </w:r>
      <w:r>
        <w:t xml:space="preserve"> Abholung 17:00, Rückgabe 20:00, kein Übernachten.</w:t>
      </w:r>
    </w:p>
    <w:p>
      <w:pPr>
        <w:jc w:val="left"/>
      </w:pPr>
      <w:r>
        <w:t>Franz holt und bringt die Kinder. Bei Jonas fällt das Donnerstagstraining aus, wenn es auf ein Franz-Wochenende fällt (Rückgabe erst Sonntag, Training Donnerstag beim anderen Elternteil nicht organisiert). Hanna hat das toleriert, sieht es aber als strukturelles Problem im Fall eines Wechselmodells.</w:t>
      </w:r>
    </w:p>
    <w:p/>
    <w:p>
      <w:pPr>
        <w:pStyle w:val="Heading2"/>
      </w:pPr>
      <w:r>
        <w:rPr>
          <w:rFonts w:ascii="Times New Roman" w:hAnsi="Times New Roman"/>
        </w:rPr>
        <w:t>5. Betreuungsanteile — Einschätzung</w:t>
      </w:r>
    </w:p>
    <w:p>
      <w:pPr>
        <w:jc w:val="left"/>
      </w:pPr>
      <w:r>
        <w:t>Hanna beziffert ihren zeitlichen Betreuungsanteil auf ca. 80–85 % des Jahres. Franz hat diese Einschätzung — nach Kenntnis der Kanzlei aus dem Schriftsatz der Gegenseite (EML 2025-04-30) — bestritten und macht ca. 50 % geltend, was bei einer realistischen Betrachtung des tatsächlichen gelebten Alltags (Schultag-Routinen, Arzttermine, Hobbys) nicht plausibel erscheint.</w:t>
      </w:r>
    </w:p>
    <w:p>
      <w:pPr>
        <w:jc w:val="left"/>
      </w:pPr>
      <w:r>
        <w:t>Betreuungsanteil Franz nach aktueller Praxis: hochgerechnet ca. 4 Übernachtungen pro 14-tägigen Zyklus = ca. 26–27 % der Nächte im Jahr, zuzüglich Mittwochabend (keine Übernachtung).</w:t>
      </w:r>
    </w:p>
    <w:p/>
    <w:p>
      <w:pPr>
        <w:pStyle w:val="Heading2"/>
      </w:pPr>
      <w:r>
        <w:rPr>
          <w:rFonts w:ascii="Times New Roman" w:hAnsi="Times New Roman"/>
        </w:rPr>
        <w:t>6. Kindesinteressen und Präferenzen (Stand März 2025)</w:t>
      </w:r>
    </w:p>
    <w:p>
      <w:pPr>
        <w:jc w:val="left"/>
      </w:pPr>
      <w:r>
        <w:t>Hanna schildert die Kinder unterschiedlich:</w:t>
      </w:r>
    </w:p>
    <w:p>
      <w:pPr>
        <w:pStyle w:val="ListBullet"/>
      </w:pPr>
      <w:r>
        <w:rPr>
          <w:b/>
        </w:rPr>
        <w:t>Mara</w:t>
      </w:r>
      <w:r>
        <w:t xml:space="preserve"> hat im Gespräch mit Hanna geäußert, sie wolle „nicht ständig hin und her pendeln". Sie brauche Stabilität, vor allem jetzt. Mara hat den Alkohol-Vorfall eigenständig gemeldet (siehe Aktenstück 06) und ist erkennbar belastet.</w:t>
      </w:r>
    </w:p>
    <w:p>
      <w:pPr>
        <w:pStyle w:val="ListBullet"/>
      </w:pPr>
      <w:r>
        <w:rPr>
          <w:b/>
        </w:rPr>
        <w:t>Jonas</w:t>
      </w:r>
      <w:r>
        <w:t xml:space="preserve"> vermisst den Vater aktiv; er hat Hanna gefragt, ob er nicht öfter zu Papa darf. Gleichzeitig ist das Fußballtraining für Jonas zentral — Franz hat die Termine in der Vergangenheit selten wahrgenommen.</w:t>
      </w:r>
    </w:p>
    <w:p>
      <w:pPr>
        <w:pStyle w:val="ListBullet"/>
      </w:pPr>
      <w:r>
        <w:rPr>
          <w:b/>
        </w:rPr>
        <w:t>Lina</w:t>
      </w:r>
      <w:r>
        <w:t xml:space="preserve"> ist nach Hannas Einschätzung am stärksten verunsichert. Sie hat nach dem 22.02.2025-Wochenende ca. eine Woche lang nachts schlecht geschlafen und an Hanna geklammert.</w:t>
      </w:r>
    </w:p>
    <w:p>
      <w:pPr>
        <w:jc w:val="left"/>
      </w:pPr>
      <w:r>
        <w:t>Eine Kindesanhörung nach § 159 FamFG wird im Verfahren stattfinden. Die Kanzlei wird prüfen, ob eine Verfahrensbeistandschaft nach § 158 FamFG zu beantragen ist (Aktenstück 22).</w:t>
      </w:r>
    </w:p>
    <w:p/>
    <w:p>
      <w:pPr>
        <w:pStyle w:val="Heading2"/>
      </w:pPr>
      <w:r>
        <w:rPr>
          <w:rFonts w:ascii="Times New Roman" w:hAnsi="Times New Roman"/>
        </w:rPr>
        <w:t>7. Haushaltsbezogene Ausgaben (monatlich, Hanna-Angaben)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Darlehensrate Haus (Volksbank)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1.480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Haushaltshilfe Frau Barbu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Lebensmittel/Haushalt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1.100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Kinder: Schulmaterial, Ausflüge, etc.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Mara: Theater-AG, Materialien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Jonas: Fußballverein, Ausrüstung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Lina: Ballett, Schwimmkurs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(ohne Hanna privat)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4.055</w:t>
            </w:r>
          </w:p>
        </w:tc>
      </w:tr>
    </w:tbl>
    <w:p>
      <w:pPr>
        <w:jc w:val="left"/>
      </w:pPr>
      <w:r>
        <w:t>Diese Ausgaben trägt aktuell allein Hanna. Franz zahlt keinen Trennungsunterhalt und keinen Kindesunterhalt; bisher lief der Unterhalt faktisch als Naturalunterhalt durch Hanna. Formelle Unterhaltsberechnung: Aktenstück 13/14.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