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Affäre: Nachrichtenauswertung und Mandatsrelevanz</w:t>
      </w:r>
    </w:p>
    <w:p>
      <w:pPr>
        <w:jc w:val="left"/>
      </w:pPr>
      <w:r>
        <w:t>Stand: Januar 2025</w:t>
      </w:r>
    </w:p>
    <w:p>
      <w:pPr>
        <w:jc w:val="left"/>
      </w:pPr>
      <w:r>
        <w:t>Bearbeiterin: RAin Dr. Friederike Pohl-Krauss</w:t>
      </w:r>
    </w:p>
    <w:p>
      <w:pPr>
        <w:jc w:val="left"/>
      </w:pPr>
      <w:r>
        <w:t>Hinweis zur Lektüre: Sämtliche Auszüge sind redaktionell anonymisiert. Der Name der dritten Person lautet in der Akte durchgehend „S. K." — Klarnamen wurden entfernt. Die Auswertung dient ausschließlich der Sachverhaltsrekonstruktion und der Mandatsberatung.</w:t>
      </w:r>
    </w:p>
    <w:p/>
    <w:p>
      <w:pPr>
        <w:pStyle w:val="Heading2"/>
      </w:pPr>
      <w:r>
        <w:rPr>
          <w:rFonts w:ascii="Times New Roman" w:hAnsi="Times New Roman"/>
        </w:rPr>
        <w:t>1. Sachverhalt der Entdeckung</w:t>
      </w:r>
    </w:p>
    <w:p>
      <w:pPr>
        <w:jc w:val="left"/>
      </w:pPr>
      <w:r>
        <w:t>Am 10. oder 11. November 2024 (Hanna erinnert sich nicht mehr genau) lag das Familien-iPad auf dem Küchentisch. Lina hatte es zum Spielen benutzt. Als Hanna das Tablet später wegräumte, war ein iMessage-Verlauf auf dem Bildschirm aktiv — die Apple-ID von Franz war auf dem Tablet noch eingeloggt (alter Zustand), und eine Synchronisierung mit Franz' iPhone hatte stattgefunden.</w:t>
      </w:r>
    </w:p>
    <w:p>
      <w:pPr>
        <w:jc w:val="left"/>
      </w:pPr>
      <w:r>
        <w:t>Hanna schildert: Sie habe kurz geschaut, ob eine der App-Benachrichtigungen die Kinder betraf. Dann sah sie den Verlauf mit „S." und las einige Nachrichten. Nach etwa zwei Minuten legte sie das Tablet weg; sie war zu aufgewühlt, um weiterzulesen. Sie hat keine Screenshots gemacht, wohl aber den Nachnamen „K." aus dem vollständigen Kontakt und das Profilfoto wahrgenommen.</w:t>
      </w:r>
    </w:p>
    <w:p/>
    <w:p>
      <w:pPr>
        <w:pStyle w:val="Heading2"/>
      </w:pPr>
      <w:r>
        <w:rPr>
          <w:rFonts w:ascii="Times New Roman" w:hAnsi="Times New Roman"/>
        </w:rPr>
        <w:t>2. Inhalt der Nachrichten (rekonstruierte Zusammenfassung nach Mandantenangabe)</w:t>
      </w:r>
    </w:p>
    <w:p>
      <w:pPr>
        <w:jc w:val="left"/>
      </w:pPr>
      <w:r>
        <w:t>Die Mandantin hat den Kanzleianwältinnen mündlich wiedergegeben, was sie gelesen hat. Es handelt sich um eine Zusammenfassung aus dem Gedächtnis, keine wörtliche Wiedergabe.</w:t>
      </w:r>
    </w:p>
    <w:p>
      <w:pPr>
        <w:jc w:val="left"/>
      </w:pPr>
      <w:r>
        <w:rPr>
          <w:b/>
        </w:rPr>
        <w:t>Ton:</w:t>
      </w:r>
      <w:r>
        <w:t xml:space="preserve"> Die Nachrichten wirkten vertraut, privat, romantisch. Franz schrieb Dinge wie „Ich denke dauernd an vorgestern" und „Ich kann nicht mehr", S. antwortete mit ähnlichem Ton. Es war kein rein geschäftlicher oder flüchtiger Kontakt.</w:t>
      </w:r>
    </w:p>
    <w:p>
      <w:pPr>
        <w:jc w:val="left"/>
      </w:pPr>
      <w:r>
        <w:rPr>
          <w:b/>
        </w:rPr>
        <w:t>Zeitraum:</w:t>
      </w:r>
      <w:r>
        <w:t xml:space="preserve"> Aus den sichtbaren Datumsanzeigen im Verlauf schloss Hanna, dass die Kommunikation mindestens seit Juni oder Juli 2024 intensiver war. Frühere Nachrichten waren nicht im Sichtfeld.</w:t>
      </w:r>
    </w:p>
    <w:p>
      <w:pPr>
        <w:jc w:val="left"/>
      </w:pPr>
      <w:r>
        <w:rPr>
          <w:b/>
        </w:rPr>
        <w:t>Inhalt:</w:t>
      </w:r>
      <w:r>
        <w:t xml:space="preserve"> Keine expliziten Detailbeschreibungen. Hanna schildert eine „Innigkeit", die sie als klar romantisch-sexuell interpretiert.</w:t>
      </w:r>
    </w:p>
    <w:p/>
    <w:p>
      <w:pPr>
        <w:pStyle w:val="Heading2"/>
      </w:pPr>
      <w:r>
        <w:rPr>
          <w:rFonts w:ascii="Times New Roman" w:hAnsi="Times New Roman"/>
        </w:rPr>
        <w:t>3. Rekonstruierte Auszüge (anonymisiert, nach Mandantengedächtnis, daher paraphrasiert)</w:t>
      </w:r>
    </w:p>
    <w:p>
      <w:pPr>
        <w:jc w:val="left"/>
      </w:pPr>
      <w:r>
        <w:t>Die folgenden Auszüge geben wieder, was Hanna in Kanzleigesprächen berichtet hat. Sie sind keine Original-Screenshots und müssen als unsichere Sekundärwiedergabe gewertet werden.</w:t>
      </w:r>
    </w:p>
    <w:p/>
    <w:p>
      <w:pPr>
        <w:ind w:left="567"/>
      </w:pPr>
      <w:r>
        <w:rPr>
          <w:b/>
          <w:i/>
        </w:rPr>
        <w:t>Franz → S.K., ca. 08.11.2024:</w:t>
      </w:r>
    </w:p>
    <w:p>
      <w:pPr>
        <w:ind w:left="567"/>
      </w:pPr>
      <w:r>
        <w:rPr>
          <w:i/>
        </w:rPr>
        <w:t>„Ich weiß nicht mehr, wie das alles noch gutgehen soll. Bei euch fühle ich mich endlich ich selbst."</w:t>
      </w:r>
    </w:p>
    <w:p>
      <w:pPr>
        <w:ind w:left="567"/>
      </w:pPr>
      <w:r>
        <w:rPr>
          <w:b/>
          <w:i/>
        </w:rPr>
        <w:t>S.K. → Franz, ca. 08.11.2024:</w:t>
      </w:r>
    </w:p>
    <w:p>
      <w:pPr>
        <w:ind w:left="567"/>
      </w:pPr>
      <w:r>
        <w:rPr>
          <w:i/>
        </w:rPr>
        <w:t>„Du bist bei mir. Das bleibt so."</w:t>
      </w:r>
    </w:p>
    <w:p>
      <w:pPr>
        <w:ind w:left="567"/>
      </w:pPr>
      <w:r>
        <w:rPr>
          <w:b/>
          <w:i/>
        </w:rPr>
        <w:t>Franz → S.K., ca. 09.11.2024:</w:t>
      </w:r>
    </w:p>
    <w:p>
      <w:pPr>
        <w:ind w:left="567"/>
      </w:pPr>
      <w:r>
        <w:rPr>
          <w:i/>
        </w:rPr>
        <w:t>„Ich hab heute Nacht wieder nicht geschlafen. Hab immer an dich gedacht."</w:t>
      </w:r>
    </w:p>
    <w:p/>
    <w:p>
      <w:pPr>
        <w:jc w:val="left"/>
      </w:pPr>
      <w:r>
        <w:t>Weitere Nachrichten hat Hanna nicht gelesen oder erinnert sich nicht. Sie betont, sie habe das Tablet sofort weggelegt.</w:t>
      </w:r>
    </w:p>
    <w:p/>
    <w:p>
      <w:pPr>
        <w:pStyle w:val="Heading2"/>
      </w:pPr>
      <w:r>
        <w:rPr>
          <w:rFonts w:ascii="Times New Roman" w:hAnsi="Times New Roman"/>
        </w:rPr>
        <w:t>4. Person „S. K."</w:t>
      </w:r>
    </w:p>
    <w:p>
      <w:pPr>
        <w:jc w:val="left"/>
      </w:pPr>
      <w:r>
        <w:t>Hanna kennt den Vornamen der Person als „S." — ein Vorname, den sie Freunden gegenüber nicht nennen möchte. Sie hat aus dem Profilfoto und dem vollständigen Kontakteintrag geschlossen, dass es sich um eine junge Frau handelt, die sie auf ca. 25–30 Jahre schätzt. Franz hat im Gespräch am 13.11.2024 auf direkte Frage Hannas erklärt, die Person sei „eine Bekannte aus einem Seminar" — Hanna versteht das als Hinweis auf eine akademische Veranstaltung oder einen Weiterbildungskurs.</w:t>
      </w:r>
    </w:p>
    <w:p>
      <w:pPr>
        <w:jc w:val="left"/>
      </w:pPr>
      <w:r>
        <w:t>Nach weiteren Nachfragen räumte Franz ein, „S." sei Studentin. Alter und Hochschule hat er nicht angegeben; Hanna schätzt das Alter auf ca. 29 Jahre.</w:t>
      </w:r>
    </w:p>
    <w:p>
      <w:pPr>
        <w:jc w:val="left"/>
      </w:pPr>
      <w:r>
        <w:rPr>
          <w:b/>
        </w:rPr>
        <w:t>Wichtig für die Akte:</w:t>
      </w:r>
      <w:r>
        <w:t xml:space="preserve"> Es gibt keinen Beleg für eine Fortdauer der Beziehung nach dem 14.11.2024. Ob die Verbindung noch besteht, ist unbekannt. Für das Scheidungsverfahren ist der Schuldgrundsatz seit der Reform 1977 abgeschafft; die Affäre hat keine direkten Auswirkungen auf Scheidungsfolgen wie Unterhalt oder Zugewinn, es sei denn, Franz hätte gemeinschaftliche Mittel für die Beziehung aufgewendet (grobe Unbilligkeit nach § 1381 BGB — derzeit kein Anhaltspunkt).</w:t>
      </w:r>
    </w:p>
    <w:p/>
    <w:p>
      <w:pPr>
        <w:pStyle w:val="Heading2"/>
      </w:pPr>
      <w:r>
        <w:rPr>
          <w:rFonts w:ascii="Times New Roman" w:hAnsi="Times New Roman"/>
        </w:rPr>
        <w:t>5. Mandatsrelevanz</w:t>
      </w:r>
    </w:p>
    <w:p>
      <w:pPr>
        <w:pStyle w:val="Heading3"/>
      </w:pPr>
      <w:r>
        <w:rPr>
          <w:rFonts w:ascii="Times New Roman" w:hAnsi="Times New Roman"/>
        </w:rPr>
        <w:t>5.1 Scheidungsrecht</w:t>
      </w:r>
    </w:p>
    <w:p>
      <w:pPr>
        <w:jc w:val="left"/>
      </w:pPr>
      <w:r>
        <w:t>Das deutsche Scheidungsrecht ist seit 1977 vom Schuldprinzip befreit. Ehebruch ist kein Scheidungsgrund und hat keine automatischen Konsequenzen auf Unterhalt, Zugewinn oder Sorgerecht. Die Ehe kann nach § 1565 BGB geschieden werden, wenn sie gescheitert ist — das ist hier nach dem Auszug Franz' und der eindeutigen Trennungserklärung beider Seiten evident.</w:t>
      </w:r>
    </w:p>
    <w:p>
      <w:pPr>
        <w:pStyle w:val="Heading3"/>
      </w:pPr>
      <w:r>
        <w:rPr>
          <w:rFonts w:ascii="Times New Roman" w:hAnsi="Times New Roman"/>
        </w:rPr>
        <w:t>5.2 Vertrauensklima und Verhandlungstaktik</w:t>
      </w:r>
    </w:p>
    <w:p>
      <w:pPr>
        <w:jc w:val="left"/>
      </w:pPr>
      <w:r>
        <w:t>Die Affäre prägt das Vertrauensklima erheblich. Hanna ist bereit, sachlich zu verhandeln, hat aber einen tiefen Vertrauensbruch erlebt. Das muss in der Kommunikationstaktik berücksichtigt werden:</w:t>
      </w:r>
    </w:p>
    <w:p>
      <w:pPr>
        <w:pStyle w:val="ListBullet"/>
      </w:pPr>
      <w:r>
        <w:t>Direkte Verhandlungen Hanna/Franz sind derzeit nicht zumutbar. Alle wesentlichen Punkte laufen über die Anwältinnen.</w:t>
      </w:r>
    </w:p>
    <w:p>
      <w:pPr>
        <w:pStyle w:val="ListBullet"/>
      </w:pPr>
      <w:r>
        <w:t>Franz und RAin Ganzhorn kommunizieren bisher sachlich; das ist zu erhalten.</w:t>
      </w:r>
    </w:p>
    <w:p>
      <w:pPr>
        <w:pStyle w:val="ListBullet"/>
      </w:pPr>
      <w:r>
        <w:t>Hanna darf nicht in eine Position gedrängt werden, in der sie das Thema öffentlich macht — das würde die Verhandlungsatmosphäre weiter verschlechtern und ist für die Kinder schädlich.</w:t>
      </w:r>
    </w:p>
    <w:p>
      <w:pPr>
        <w:pStyle w:val="Heading3"/>
      </w:pPr>
      <w:r>
        <w:rPr>
          <w:rFonts w:ascii="Times New Roman" w:hAnsi="Times New Roman"/>
        </w:rPr>
        <w:t>5.3 Datenschutz / Verwertbarkeit</w:t>
      </w:r>
    </w:p>
    <w:p>
      <w:pPr>
        <w:jc w:val="left"/>
      </w:pPr>
      <w:r>
        <w:t>Hanna hat die Nachrichten nicht gezielt abgehangen, nicht kopiert und nicht aufbewahrt. Sie hat sie versehentlich gesehen. Die Rechtslage zur Verwertbarkeit heimlich erlangter Nachrichtenkopien ist komplex (Beweisverwertungsverbot, § 201a StGB). Da keine Kopien gemacht wurden und Hanna keinen gerichtlichen Beweis durch die Nachrichten führen will, ist dieses Problem akademisch. Wir beraten die Mandantin, keine weiteren Nachforschungen anzustellen.</w:t>
      </w:r>
    </w:p>
    <w:p>
      <w:pPr>
        <w:pStyle w:val="Heading3"/>
      </w:pPr>
      <w:r>
        <w:rPr>
          <w:rFonts w:ascii="Times New Roman" w:hAnsi="Times New Roman"/>
        </w:rPr>
        <w:t>5.4 Kindeswohlbezug</w:t>
      </w:r>
    </w:p>
    <w:p>
      <w:pPr>
        <w:jc w:val="left"/>
      </w:pPr>
      <w:r>
        <w:t>Kein direkter Kindeswohlbezug der Affäre per se. Relevant wird sie nur, wenn nachgewiesen werden könnte, dass Franz während der Umgangszeiten mit den Kindern die Person getroffen und die Kinder dadurch in emotional belastende Situationen gebracht hat. Das ist derzeit nicht belegt.</w:t>
      </w:r>
    </w:p>
    <w:p/>
    <w:p>
      <w:pPr>
        <w:pStyle w:val="Heading2"/>
      </w:pPr>
      <w:r>
        <w:rPr>
          <w:rFonts w:ascii="Times New Roman" w:hAnsi="Times New Roman"/>
        </w:rPr>
        <w:t>6. Weiteres Vorgehen</w:t>
      </w:r>
    </w:p>
    <w:p>
      <w:pPr>
        <w:pStyle w:val="ListBullet"/>
      </w:pPr>
      <w:r>
        <w:t>Keine aktive Beschaffung weiterer Belege zur Affäre.</w:t>
      </w:r>
    </w:p>
    <w:p>
      <w:pPr>
        <w:pStyle w:val="ListBullet"/>
      </w:pPr>
      <w:r>
        <w:t>Kein Verweis auf die Affäre in Schriftsätzen, solange nicht erforderlich.</w:t>
      </w:r>
    </w:p>
    <w:p>
      <w:pPr>
        <w:pStyle w:val="ListBullet"/>
      </w:pPr>
      <w:r>
        <w:t>Dokumentation in der Akte dient ausschließlich der vollständigen Sachverhaltsrekonstruktion für die beratenden Anwältinnen.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