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Alkohol-Vorfall 22./23.02.2025 und nachfolgende Meldungen</w:t>
      </w:r>
    </w:p>
    <w:p>
      <w:pPr>
        <w:jc w:val="left"/>
      </w:pPr>
      <w:r>
        <w:t>Stand: April 2025</w:t>
      </w:r>
    </w:p>
    <w:p>
      <w:pPr>
        <w:jc w:val="left"/>
      </w:pPr>
      <w:r>
        <w:t>Bearbeiterin: RAin Dr. Friederike Pohl-Krauss / RAin Helmstedt</w:t>
      </w:r>
    </w:p>
    <w:p/>
    <w:p>
      <w:pPr>
        <w:pStyle w:val="Heading2"/>
      </w:pPr>
      <w:r>
        <w:rPr>
          <w:rFonts w:ascii="Times New Roman" w:hAnsi="Times New Roman"/>
        </w:rPr>
        <w:t>1. Ausgangssachverhalt</w:t>
      </w:r>
    </w:p>
    <w:p>
      <w:pPr>
        <w:jc w:val="left"/>
      </w:pPr>
      <w:r>
        <w:t>Am Wochenende 21.–23.02.2025 verbrachten alle drei Kinder — Mara, Jonas, Lina — das reguläre 14-tägige Umgangswochenende bei Franz Trüffelberch in seiner Wohnung in Hannover-Bothfeld.</w:t>
      </w:r>
    </w:p>
    <w:p>
      <w:pPr>
        <w:jc w:val="left"/>
      </w:pPr>
      <w:r>
        <w:t>Am Sonntag, 23.02.2025, gegen 17:50 Uhr holte Hanna die Kinder ab (Abholung war vereinbart 18:00 Uhr, Hanna kam etwas früher). Sie schildert die Situation beim Abholen wie folgt:</w:t>
      </w:r>
    </w:p>
    <w:p>
      <w:pPr>
        <w:pStyle w:val="ListBullet"/>
      </w:pPr>
      <w:r>
        <w:t>Lina weinte beim Aussteigen aus dem Auto Franz'. Franz wirkte nach Hannas Angabe „nervös und abgehetzt", hat Hanna nicht in die Augen geschaut.</w:t>
      </w:r>
    </w:p>
    <w:p>
      <w:pPr>
        <w:pStyle w:val="ListBullet"/>
      </w:pPr>
      <w:r>
        <w:t>Jonas schwieg und ging sofort ins Haus. Für seinen Freundlichkeit zu diesem Zeitpunkt ungewöhnlich.</w:t>
      </w:r>
    </w:p>
    <w:p>
      <w:pPr>
        <w:pStyle w:val="ListBullet"/>
      </w:pPr>
      <w:r>
        <w:t>Mara hatte einen Ausdruck, den Hanna als „zermürbt" beschreibt — kein Weinen, aber angespannt.</w:t>
      </w:r>
    </w:p>
    <w:p>
      <w:pPr>
        <w:jc w:val="left"/>
      </w:pPr>
      <w:r>
        <w:t>Hanna fragte die Kinder einzeln, was passiert sei. Lina war nicht in der Lage zu artikulieren, was sie bedrückte, und klammerte sich an Hanna. Jonas sagte nur, der Abend sei „irgendwie komisch" gewesen. Mara bat Hanna, erst in Ruhe zu lassen; am Montagabend erzählte sie dann:</w:t>
      </w:r>
    </w:p>
    <w:p/>
    <w:p>
      <w:pPr>
        <w:pStyle w:val="Heading2"/>
      </w:pPr>
      <w:r>
        <w:rPr>
          <w:rFonts w:ascii="Times New Roman" w:hAnsi="Times New Roman"/>
        </w:rPr>
        <w:t>2. Maras Schilderung (Montagabend 24.02.2025)</w:t>
      </w:r>
    </w:p>
    <w:p>
      <w:pPr>
        <w:jc w:val="left"/>
      </w:pPr>
      <w:r>
        <w:t>Mara berichtete Hanna (die Wiedergabe basiert auf Hannas Gedächtnisprotokoll, das sie am 25.02.2025 niedergeschrieben und der Kanzlei übergeben hat):</w:t>
      </w:r>
    </w:p>
    <w:p>
      <w:pPr>
        <w:jc w:val="left"/>
      </w:pPr>
      <w:r>
        <w:t>Samstagabend (22.02.2025) hatten sie und die Kinder mit Franz gemeinsam gegessen. Franz hatte Bier getrunken — „mehrere Flaschen", so Mara. Gegen 21:00 Uhr sei die Stimmung „komisch" geworden. Franz habe laut und undeutlich gesprochen. Als Jonas ihn etwas gefragt habe, habe Franz überreagiert und „geschrien, das seien Kleinigkeiten". Mara habe das als erschreckend wahrgenommen, da Franz sonst eher ruhig sei. Franz sei danach auf dem Sofa eingeschlafen. Lina habe geweint; Mara habe Lina und Jonas in ihr (Maras) Zimmer geholt, wo sie den Rest des Abends verbracht hätten. Mara beschreibt, dass sie sich „verantwortlich" gefühlt habe.</w:t>
      </w:r>
    </w:p>
    <w:p>
      <w:pPr>
        <w:jc w:val="left"/>
      </w:pPr>
      <w:r>
        <w:t>Mara hat ausdrücklich kein Wort von körperlicher Bedrohung oder Berührung erwähnt. Franz hat nach ihrer Schilderung niemanden angefasst.</w:t>
      </w:r>
    </w:p>
    <w:p/>
    <w:p>
      <w:pPr>
        <w:pStyle w:val="Heading2"/>
      </w:pPr>
      <w:r>
        <w:rPr>
          <w:rFonts w:ascii="Times New Roman" w:hAnsi="Times New Roman"/>
        </w:rPr>
        <w:t>3. Meldung durch Klassenlehrerin Müller-Tessar</w:t>
      </w:r>
    </w:p>
    <w:p>
      <w:pPr>
        <w:jc w:val="left"/>
      </w:pPr>
      <w:r>
        <w:t>Etwa eine Woche nach dem Vorfall — ca. 28.02.2025 oder 01.03.2025 — hat Mara ihrer Klassenlehrerin Frau Müller-Tessar auf Nachfrage (Frau Müller-Tessar hatte Maras Anspannung bemerkt) von dem Abend erzählt. Frau Müller-Tessar hat daraufhin die schulpsychologische Fachkraft der Goetheschule, Frau Rennert-Klein (laut Telefonat der Kanzlei mit der Schulleitung bestätigt), informiert. Frau Rennert-Klein führte am 04.03.2025 ein Gespräch mit Mara.</w:t>
      </w:r>
    </w:p>
    <w:p>
      <w:pPr>
        <w:jc w:val="left"/>
      </w:pPr>
      <w:r>
        <w:t>Ergebnis des schulpsychologischen Gesprächs: Mara machte keinen akut gefährdeten Eindruck. Sie sei in der Lage, die Situation zu benennen und zu differenzieren. Frau Rennert-Klein hat die Schulleitung informiert; die Schulleitung hat per Schreiben vom 10.07.2025 (EML-Anlage: 2025-07-10_schulleitung_an_kanzlei_mara_situation.eml) Kontakt zur Kanzlei aufgenommen und dem Jugendamt eine parallele Meldung eingereicht.</w:t>
      </w:r>
    </w:p>
    <w:p/>
    <w:p>
      <w:pPr>
        <w:pStyle w:val="Heading2"/>
      </w:pPr>
      <w:r>
        <w:rPr>
          <w:rFonts w:ascii="Times New Roman" w:hAnsi="Times New Roman"/>
        </w:rPr>
        <w:t>4. Meldung Hanna ans Jugendamt Hannover-Linden (03.03.2025)</w:t>
      </w:r>
    </w:p>
    <w:p>
      <w:pPr>
        <w:jc w:val="left"/>
      </w:pPr>
      <w:r>
        <w:t>Hanna hat am 03.03.2025 eine schriftliche Meldung an das Jugendamt Hannover-Linden (Allgemeiner Sozialer Dienst, Fachbereich Jugend und Familie) übermittelt. Die Meldung war formlos; Hanna hat auf eine telefonische Beratung durch die Kanzlei hin einen kurzen Sachverhaltsbrief verfasst. Kanzleikopie liegt vor.</w:t>
      </w:r>
    </w:p>
    <w:p>
      <w:pPr>
        <w:jc w:val="left"/>
      </w:pPr>
      <w:r>
        <w:t>Wesentliche Angaben in der Meldung:</w:t>
      </w:r>
    </w:p>
    <w:p>
      <w:pPr>
        <w:pStyle w:val="ListBullet"/>
      </w:pPr>
      <w:r>
        <w:t>Beschreibung des Vorfalls 22./23.02.2025.</w:t>
      </w:r>
    </w:p>
    <w:p>
      <w:pPr>
        <w:pStyle w:val="ListBullet"/>
      </w:pPr>
      <w:r>
        <w:t>Maras Schilderung (zusammengefasst).</w:t>
      </w:r>
    </w:p>
    <w:p>
      <w:pPr>
        <w:pStyle w:val="ListBullet"/>
      </w:pPr>
      <w:r>
        <w:t>Sorge um Betreuungsqualität in Franz' Haushalt.</w:t>
      </w:r>
    </w:p>
    <w:p>
      <w:pPr>
        <w:pStyle w:val="ListBullet"/>
      </w:pPr>
      <w:r>
        <w:t>Bitte um Überprüfung.</w:t>
      </w:r>
    </w:p>
    <w:p>
      <w:pPr>
        <w:jc w:val="left"/>
      </w:pPr>
      <w:r>
        <w:t>Das Jugendamt hat am 10.03.2025 per Telefon den Eingang bestätigt. Ein Gespräch mit Hanna und den Kindern wurde für den 20.03.2025 vereinbart.</w:t>
      </w:r>
    </w:p>
    <w:p/>
    <w:p>
      <w:pPr>
        <w:pStyle w:val="Heading2"/>
      </w:pPr>
      <w:r>
        <w:rPr>
          <w:rFonts w:ascii="Times New Roman" w:hAnsi="Times New Roman"/>
        </w:rPr>
        <w:t>5. Jugendamtsgespräch 20.03.2025</w:t>
      </w:r>
    </w:p>
    <w:p>
      <w:pPr>
        <w:jc w:val="left"/>
      </w:pPr>
      <w:r>
        <w:t>Das Gespräch fand im Büro des ASD Hannover-Linden statt. Anwesend: Frau Kowalczyk (Sachbearbeiterin JA), Hanna, Mara (kurze Teilnahme auf freiwilliger Basis). Jonas und Lina wurden nicht mitgebracht; die Sachbearbeiterin hielt das für zunächst nicht notwendig.</w:t>
      </w:r>
    </w:p>
    <w:p>
      <w:pPr>
        <w:jc w:val="left"/>
      </w:pPr>
      <w:r>
        <w:t>Mara hat in dem Gespräch das Wesentliche bestätigt: Vater habe an dem Abend viel getrunken und sei dann unberechenbar laut geworden. Sie habe die jüngeren Geschwister in Sicherheit gebracht. Frau Kowalczyk hat Mara für ihr verantwortungsvolles Handeln gelobt.</w:t>
      </w:r>
    </w:p>
    <w:p>
      <w:pPr>
        <w:jc w:val="left"/>
      </w:pPr>
      <w:r>
        <w:t>Das Jugendamt hat ein Gespräch auch mit Franz Trüffelberch angekündigt. Franz hat nach Angabe des JA dem Gespräch (Brief vom JA 25.03.2025, Kopie erbeten) zugestimmt, es dann aber zweimal verschoben.</w:t>
      </w:r>
    </w:p>
    <w:p/>
    <w:p>
      <w:pPr>
        <w:pStyle w:val="Heading2"/>
      </w:pPr>
      <w:r>
        <w:rPr>
          <w:rFonts w:ascii="Times New Roman" w:hAnsi="Times New Roman"/>
        </w:rPr>
        <w:t>6. Aussagen Jonas und Lina (nach Hanna-Protokoll, April 2025)</w:t>
      </w:r>
    </w:p>
    <w:p>
      <w:pPr>
        <w:jc w:val="left"/>
      </w:pPr>
      <w:r>
        <w:t>Hanna hat auch Jonas und Lina in zwei getrennten Gesprächen befragt. Die Gespräche wurden nicht in Gegenwart der Kanzlei geführt.</w:t>
      </w:r>
    </w:p>
    <w:p>
      <w:pPr>
        <w:jc w:val="left"/>
      </w:pPr>
      <w:r>
        <w:rPr>
          <w:b/>
        </w:rPr>
        <w:t>Jonas:</w:t>
      </w:r>
      <w:r>
        <w:t xml:space="preserve"> „Papa hatte viel Bier. Er war komisch. Er hat nicht richtig geantwortet." Auf Nachfrage, ob er sich erschrocken habe: „Ja. Aber er hat mir nichts getan."</w:t>
      </w:r>
    </w:p>
    <w:p>
      <w:pPr>
        <w:jc w:val="left"/>
      </w:pPr>
      <w:r>
        <w:rPr>
          <w:b/>
        </w:rPr>
        <w:t>Lina:</w:t>
      </w:r>
      <w:r>
        <w:t xml:space="preserve"> Hat nicht viel gesprochen. Hat erklärt, Mara habe gesagt, sie solle still sein. Sie habe dann geschlafen (unklar, ob tatsächlich geschlafen oder einfach aufgehört zu reagieren). Lina hat seither bei einem weiteren Umgangsbesuch (07.03.2025) auf Franz' Wunsch hin übernachtet und wirkte danach unauffällig.</w:t>
      </w:r>
    </w:p>
    <w:p/>
    <w:p>
      <w:pPr>
        <w:pStyle w:val="Heading2"/>
      </w:pPr>
      <w:r>
        <w:rPr>
          <w:rFonts w:ascii="Times New Roman" w:hAnsi="Times New Roman"/>
        </w:rPr>
        <w:t>7. Reaktion Franz</w:t>
      </w:r>
    </w:p>
    <w:p>
      <w:pPr>
        <w:jc w:val="left"/>
      </w:pPr>
      <w:r>
        <w:t>Franz Trüffelberch hat über seine Anwältin RAin Ganzhorn am 30.04.2025 schriftlich erklärt, er bestreite die Darstellung „vollständig und in jedem Punkt". Er habe an dem Abend zwei Bier getrunken und sei müde gewesen. Der Ton der Kinder habe er mit normaler Lautstärke korrigiert. Er sei nicht betrunken gewesen. Er wolle das Jugendamt-Gespräch mit einer eigenen Schilderung ausräumen.</w:t>
      </w:r>
    </w:p>
    <w:p>
      <w:pPr>
        <w:jc w:val="left"/>
      </w:pPr>
      <w:r>
        <w:t>Weitere Einlassung: Franz wirft Hanna vor, die Kinder zu „instrumentalisieren" und die Situation zu nutzen, um sein Umgangsrecht zu beschränken.</w:t>
      </w:r>
    </w:p>
    <w:p/>
    <w:p>
      <w:pPr>
        <w:pStyle w:val="Heading2"/>
      </w:pPr>
      <w:r>
        <w:rPr>
          <w:rFonts w:ascii="Times New Roman" w:hAnsi="Times New Roman"/>
        </w:rPr>
        <w:t>8. Rechtliche Einordnung und weiteres Vorgehen</w:t>
      </w:r>
    </w:p>
    <w:p>
      <w:pPr>
        <w:jc w:val="left"/>
      </w:pPr>
      <w:r>
        <w:t>Der Vorfall allein reicht — gemessen an den Voraussetzungen des § 1666 BGB — noch nicht sicher für einen gerichtlichen Eilantrag aus. Es fehlt an einer belegten konkreten Kindeswohlgefährdung (keine Verletzungen, kein Eingreifen Dritter, keine ärztliche Untersuchung). Gleichzeitig ist die Situation nicht zu bagatellisieren: Mara hat eigenständig Verantwortung übernommen, die Jüngeren in Sicherheit zu bringen — das ist ein erhebliches Signal.</w:t>
      </w:r>
    </w:p>
    <w:p>
      <w:pPr>
        <w:jc w:val="left"/>
      </w:pPr>
      <w:r>
        <w:t>Die Kanzlei prüft:</w:t>
      </w:r>
    </w:p>
    <w:p>
      <w:pPr>
        <w:pStyle w:val="ListBullet"/>
      </w:pPr>
      <w:r>
        <w:t>Ob ein Gutachtensauftrag durch das Familiengericht (§ 163 FamFG) sinnvoll ist.</w:t>
      </w:r>
    </w:p>
    <w:p>
      <w:pPr>
        <w:pStyle w:val="ListBullet"/>
      </w:pPr>
      <w:r>
        <w:t>Ob ein Antrag auf begleiteten Umgang als einstweilige Anordnung in Betracht kommt.</w:t>
      </w:r>
    </w:p>
    <w:p>
      <w:pPr>
        <w:pStyle w:val="ListBullet"/>
      </w:pPr>
      <w:r>
        <w:t>Ob das Jugendamt-Gespräch mit Franz ein aufschlussreiches Ergebnis bringt.</w:t>
      </w:r>
    </w:p>
    <w:p>
      <w:pPr>
        <w:jc w:val="left"/>
      </w:pPr>
      <w:r>
        <w:t>Näheres in Aktenstück 08.</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