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Jugendamt Hannover — Korrespondenz und Verfahrensstand</w:t>
      </w:r>
    </w:p>
    <w:p>
      <w:pPr>
        <w:jc w:val="left"/>
      </w:pPr>
      <w:r>
        <w:t>Stand: September 2025</w:t>
      </w:r>
    </w:p>
    <w:p>
      <w:pPr>
        <w:jc w:val="left"/>
      </w:pPr>
      <w:r>
        <w:t>Bearbeiterin: RAin Helmstedt / RAin Dr. Pohl-Krauss</w:t>
      </w:r>
    </w:p>
    <w:p/>
    <w:p>
      <w:pPr>
        <w:pStyle w:val="Heading2"/>
      </w:pPr>
      <w:r>
        <w:rPr>
          <w:rFonts w:ascii="Times New Roman" w:hAnsi="Times New Roman"/>
        </w:rPr>
        <w:t>1. Überblick Jugendamtskontakte</w:t>
      </w:r>
    </w:p>
    <w:p>
      <w:pPr>
        <w:jc w:val="left"/>
      </w:pPr>
      <w:r>
        <w:t>Das Jugendamt Hannover-Linden (Allgemeiner Sozialer Dienst, Fachdienst Jugend und Familie) ist in dieser Akte aus zwei Richtungen eingeschaltet:</w:t>
      </w:r>
    </w:p>
    <w:p>
      <w:pPr>
        <w:pStyle w:val="ListNumber"/>
      </w:pPr>
      <w:r>
        <w:t>Durch Hannas schriftliche Meldung vom 03.03.2025 (Alkohol-Vorfall).</w:t>
      </w:r>
    </w:p>
    <w:p>
      <w:pPr>
        <w:pStyle w:val="ListNumber"/>
      </w:pPr>
      <w:r>
        <w:t>Durch die Schulleitung der Goetheschule (Juli 2025).</w:t>
      </w:r>
    </w:p>
    <w:p>
      <w:pPr>
        <w:jc w:val="left"/>
      </w:pPr>
      <w:r>
        <w:t>Das Jugendamt ist außerdem im Kontext des Cochemer Modells aktiv: Es hat die Familienpsychologin Brandt als Koordinatorin empfohlen und koordiniert die Elternberatungstermine.</w:t>
      </w:r>
    </w:p>
    <w:p>
      <w:pPr>
        <w:jc w:val="left"/>
      </w:pPr>
      <w:r>
        <w:t>Zuständige Sachbearbeiterin: Frau Kowalczyk, ASD Hannover-Linden, Tel. 0511/169-42710 (lt. Briefkopf).</w:t>
      </w:r>
    </w:p>
    <w:p/>
    <w:p>
      <w:pPr>
        <w:pStyle w:val="Heading2"/>
      </w:pPr>
      <w:r>
        <w:rPr>
          <w:rFonts w:ascii="Times New Roman" w:hAnsi="Times New Roman"/>
        </w:rPr>
        <w:t>2. Schriftverkehr (chronologisch)</w:t>
      </w:r>
    </w:p>
    <w:p>
      <w:pPr>
        <w:pStyle w:val="Heading3"/>
      </w:pPr>
      <w:r>
        <w:rPr>
          <w:rFonts w:ascii="Times New Roman" w:hAnsi="Times New Roman"/>
        </w:rPr>
        <w:t>Brief 1 — Hanna Trüffelberch → Jugendamt, 03.03.2025 (Meldung)</w:t>
      </w:r>
    </w:p>
    <w:p>
      <w:pPr>
        <w:jc w:val="left"/>
      </w:pPr>
      <w:r>
        <w:t>Formloser Sachverhaltsbrief, ca. 2 Seiten. Hanna schildert den Vorfall vom 22.02.2025, die Reaktion der Kinder und Maras Schilderung. Sie bittet das Jugendamt um Überprüfung und hat erklärt, sie stimme einer Kontaktaufnahme mit den Kindern zu. Kanzleikopie liegt vor.</w:t>
      </w:r>
    </w:p>
    <w:p>
      <w:pPr>
        <w:pStyle w:val="Heading3"/>
      </w:pPr>
      <w:r>
        <w:rPr>
          <w:rFonts w:ascii="Times New Roman" w:hAnsi="Times New Roman"/>
        </w:rPr>
        <w:t>Brief 2 — Jugendamt → Hanna, 10.03.2025 (Eingangsbestätigung)</w:t>
      </w:r>
    </w:p>
    <w:p>
      <w:pPr>
        <w:jc w:val="left"/>
      </w:pPr>
      <w:r>
        <w:t>Kurze Eingangsbestätigung. Frau Kowalczyk bestätigt den Eingang, teilt mit, dass die Sache bearbeitet wird und ein Gespräch angeboten wird. Keine inhaltliche Stellungnahme.</w:t>
      </w:r>
    </w:p>
    <w:p>
      <w:pPr>
        <w:pStyle w:val="Heading3"/>
      </w:pPr>
      <w:r>
        <w:rPr>
          <w:rFonts w:ascii="Times New Roman" w:hAnsi="Times New Roman"/>
        </w:rPr>
        <w:t>Brief 3 — Jugendamt → Hanna, 14.03.2025 (Gesprächseinladung)</w:t>
      </w:r>
    </w:p>
    <w:p>
      <w:pPr>
        <w:jc w:val="left"/>
      </w:pPr>
      <w:r>
        <w:t>Einladung zum ASD-Gespräch am 20.03.2025, 10:00 Uhr. Hanna kann optional eine Vertrauensperson mitbringen. RAin Helmstedt hat beratend zur Seite gestanden; sie hat das Gespräch nicht aktiv begleitet, da das Jugendamtsgespräch keine anwaltliche Begleitung erforderte und das Amt eine natürliche Atmosphäre bevorzugt.</w:t>
      </w:r>
    </w:p>
    <w:p>
      <w:pPr>
        <w:pStyle w:val="Heading3"/>
      </w:pPr>
      <w:r>
        <w:rPr>
          <w:rFonts w:ascii="Times New Roman" w:hAnsi="Times New Roman"/>
        </w:rPr>
        <w:t>Vermerk Jugendamt — internes Gesprächsprotokoll 20.03.2025 (Kopie erbeten, noch nicht erhalten)</w:t>
      </w:r>
    </w:p>
    <w:p>
      <w:pPr>
        <w:jc w:val="left"/>
      </w:pPr>
      <w:r>
        <w:t>Das Jugendamt hat mündlich zugesagt, eine Abschrift des internen Gesprächsvermerks an die Kanzlei zu übermitteln. Stand September 2025: noch ausstehend. RAin Helmstedt hat am 02.09.2025 telefonisch nachgehakt; Frau Kowalczyk hat eine baldige Übersendung zugesagt.</w:t>
      </w:r>
    </w:p>
    <w:p>
      <w:pPr>
        <w:pStyle w:val="Heading3"/>
      </w:pPr>
      <w:r>
        <w:rPr>
          <w:rFonts w:ascii="Times New Roman" w:hAnsi="Times New Roman"/>
        </w:rPr>
        <w:t>E-Mail JA → Kanzlei, 25.02.2025 (EML-Datei: 2025-02-25_jugendamt_an_kanzlei_meldung.eml)</w:t>
      </w:r>
    </w:p>
    <w:p>
      <w:pPr>
        <w:jc w:val="left"/>
      </w:pPr>
      <w:r>
        <w:t>Vorgezogene Kurzinformation aus dem Postfach des JA an die Kanzlei nach Vollmachtsübermittlung. Inhalt: Bestätigung Eingang Hannas Meldung, Ankündigung Einladung zum Gespräch, Hinweis auf Datenschutz (Weitergabe personenbezogener Daten nur mit Einwilligung). Vollmacht Hanna liegt dem JA vor.</w:t>
      </w:r>
    </w:p>
    <w:p>
      <w:pPr>
        <w:pStyle w:val="Heading3"/>
      </w:pPr>
      <w:r>
        <w:rPr>
          <w:rFonts w:ascii="Times New Roman" w:hAnsi="Times New Roman"/>
        </w:rPr>
        <w:t>Brief JA → Franz Trüffelberch, 25.03.2025 (Kopie erbeten)</w:t>
      </w:r>
    </w:p>
    <w:p>
      <w:pPr>
        <w:jc w:val="left"/>
      </w:pPr>
      <w:r>
        <w:t>Das JA hat Franz zu einem Klärungsgespräch eingeladen. Franz hat lt. telefonischer Mitteilung des JA an RAin Helmstedt zweimal verschoben (einmal krankheitsbedingt, einmal wegen Terminkonflikt Werkstatt). Dritter Termin war für Juli 2025 geplant — Ergebnis steht noch aus.</w:t>
      </w:r>
    </w:p>
    <w:p>
      <w:pPr>
        <w:pStyle w:val="Heading3"/>
      </w:pPr>
      <w:r>
        <w:rPr>
          <w:rFonts w:ascii="Times New Roman" w:hAnsi="Times New Roman"/>
        </w:rPr>
        <w:t>Schreiben RAin Ganzhorn (Franz' Anwältin) → JA, ca. April 2025</w:t>
      </w:r>
    </w:p>
    <w:p>
      <w:pPr>
        <w:jc w:val="left"/>
      </w:pPr>
      <w:r>
        <w:t>RAin Ganzhorn hat laut Jugendamt ein Schreiben übermittelt, in dem Franz den Alkohol-Vorfall bestreitet und betont, er habe das Wohl der Kinder stets in den Vordergrund gestellt. Das JA hat dieses Schreiben nach eigenem Bekunden „zur Kenntnis genommen".</w:t>
      </w:r>
    </w:p>
    <w:p/>
    <w:p>
      <w:pPr>
        <w:pStyle w:val="Heading2"/>
      </w:pPr>
      <w:r>
        <w:rPr>
          <w:rFonts w:ascii="Times New Roman" w:hAnsi="Times New Roman"/>
        </w:rPr>
        <w:t>3. Cochemer Beratungstermine</w:t>
      </w:r>
    </w:p>
    <w:p>
      <w:pPr>
        <w:jc w:val="left"/>
      </w:pPr>
      <w:r>
        <w:t>Das Cochemer Modell ist kein Rechtskonzept, sondern ein interdisziplinärer Kooperationsansatz zwischen Jugendamt, Familiengericht, Beratungsstellen und Anwaltschaft mit dem Ziel, elterliche Konflikte zu deeskalieren, bevor das Gericht eingreift. Das Jugendamt Hannover hat das Modell für dieses Mandat empfohlen.</w:t>
      </w:r>
    </w:p>
    <w:p>
      <w:pPr>
        <w:jc w:val="left"/>
      </w:pPr>
      <w:r>
        <w:rPr>
          <w:b/>
        </w:rPr>
        <w:t>Termin 1 — April 2025 (abgehalten)</w:t>
      </w:r>
    </w:p>
    <w:p>
      <w:pPr>
        <w:jc w:val="left"/>
      </w:pPr>
      <w:r>
        <w:t>Ort: Beratungsstelle der Diakonie Hannover-Linden, Birkenweg 7, 30449 Hannover.</w:t>
      </w:r>
    </w:p>
    <w:p>
      <w:pPr>
        <w:jc w:val="left"/>
      </w:pPr>
      <w:r>
        <w:t>Koordinatorin: Frau Brandt, Diplom-Psychologin.</w:t>
      </w:r>
    </w:p>
    <w:p>
      <w:pPr>
        <w:jc w:val="left"/>
      </w:pPr>
      <w:r>
        <w:t>Anwesend: Hanna, Franz, Frau Brandt, Frau Kowalczyk (JA, kurz).</w:t>
      </w:r>
    </w:p>
    <w:p>
      <w:pPr>
        <w:jc w:val="left"/>
      </w:pPr>
      <w:r>
        <w:t>Ergebnis: Erster Kontakt hergestellt. Beide Elternteile wurden nach ihren Vorstellungen befragt. Franz formulierte erneut seinen Wunsch nach Wechselmodell 50/50. Hanna erläuterte ihre Bedenken sachlich. Vereinbarung: zweiter Termin Ende Mai 2025.</w:t>
      </w:r>
    </w:p>
    <w:p>
      <w:pPr>
        <w:jc w:val="left"/>
      </w:pPr>
      <w:r>
        <w:rPr>
          <w:b/>
        </w:rPr>
        <w:t>Termin 2 — Ende Mai 2025 (von Franz abgesagt)</w:t>
      </w:r>
    </w:p>
    <w:p>
      <w:pPr>
        <w:jc w:val="left"/>
      </w:pPr>
      <w:r>
        <w:t>Franz hat den Termin per kurzer SMS an Frau Brandt abgesagt: „Habe momentan keine Kapazität für weitere Gespräche." Frau Brandt hat eine Neuvergabe angeboten; Franz hat nicht reagiert.</w:t>
      </w:r>
    </w:p>
    <w:p>
      <w:pPr>
        <w:jc w:val="left"/>
      </w:pPr>
      <w:r>
        <w:t>Das JA hat die Absage als problematisch vermerkt. Franz wird im Schreiben des JA (nicht an Kanzlei; Hanna hat mündlich berichtet) darauf hingewiesen, dass eine mangelnde Kooperation im weiteren Verfahren berücksichtigt werden kann.</w:t>
      </w:r>
    </w:p>
    <w:p>
      <w:pPr>
        <w:jc w:val="left"/>
      </w:pPr>
      <w:r>
        <w:rPr>
          <w:b/>
        </w:rPr>
        <w:t>Termin 3 — Stand September 2025: noch nicht vereinbart</w:t>
      </w:r>
    </w:p>
    <w:p>
      <w:pPr>
        <w:jc w:val="left"/>
      </w:pPr>
      <w:r>
        <w:t>Die Kanzlei hat Frau Brandt gebeten, den Ball erneut aufzunehmen. Frau Brandt hat mitgeteilt, Franz habe sich auf ihre letzte E-Mail nicht gemeldet.</w:t>
      </w:r>
    </w:p>
    <w:p/>
    <w:p>
      <w:pPr>
        <w:pStyle w:val="Heading2"/>
      </w:pPr>
      <w:r>
        <w:rPr>
          <w:rFonts w:ascii="Times New Roman" w:hAnsi="Times New Roman"/>
        </w:rPr>
        <w:t>4. Familienhelfer-Vorschlag des Jugendamts</w:t>
      </w:r>
    </w:p>
    <w:p>
      <w:pPr>
        <w:jc w:val="left"/>
      </w:pPr>
      <w:r>
        <w:t>Das JA hat im Gespräch vom 20.03.2025 angeregt, eine Familienhelferin zu beauftragen, die im Haushalt von Hanna wöchentlich ca. 2 Stunden unterstützt und dabei auch ein Auge auf die Befindlichkeit der Kinder hat. Hanna hat dem zugestimmt. Seit April 2025 kommt Frau Wendorf (AWO, Hannover) einmal wöchentlich dienstags für zwei Stunden.</w:t>
      </w:r>
    </w:p>
    <w:p>
      <w:pPr>
        <w:jc w:val="left"/>
      </w:pPr>
      <w:r>
        <w:t>Frau Wendorf hat bisher keine Bedenken gemeldet. Die Kinder reagieren auf sie entspannt.</w:t>
      </w:r>
    </w:p>
    <w:p/>
    <w:p>
      <w:pPr>
        <w:pStyle w:val="Heading2"/>
      </w:pPr>
      <w:r>
        <w:rPr>
          <w:rFonts w:ascii="Times New Roman" w:hAnsi="Times New Roman"/>
        </w:rPr>
        <w:t>5. Offene Punkte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Punkt</w:t>
            </w:r>
          </w:p>
        </w:tc>
        <w:tc>
          <w:tcPr>
            <w:tcW w:type="dxa" w:w="4536"/>
          </w:tcPr>
          <w:p>
            <w:r>
              <w:rPr>
                <w:rFonts w:ascii="Times New Roman" w:hAnsi="Times New Roman"/>
                <w:b/>
                <w:sz w:val="20"/>
              </w:rPr>
              <w:t>Status</w:t>
            </w:r>
          </w:p>
        </w:tc>
      </w:tr>
      <w:tr>
        <w:tc>
          <w:tcPr>
            <w:tcW w:type="dxa" w:w="4536"/>
          </w:tcPr>
          <w:p>
            <w:r>
              <w:rPr>
                <w:rFonts w:ascii="Times New Roman" w:hAnsi="Times New Roman"/>
                <w:sz w:val="20"/>
              </w:rPr>
              <w:t>JA-Gesprächsprotokoll 20.03.2025</w:t>
            </w:r>
          </w:p>
        </w:tc>
        <w:tc>
          <w:tcPr>
            <w:tcW w:type="dxa" w:w="4536"/>
          </w:tcPr>
          <w:p>
            <w:r>
              <w:rPr>
                <w:rFonts w:ascii="Times New Roman" w:hAnsi="Times New Roman"/>
                <w:sz w:val="20"/>
              </w:rPr>
              <w:t>ausstehend, RAin Helmstedt nachgehakt 02.09.2025</w:t>
            </w:r>
          </w:p>
        </w:tc>
      </w:tr>
      <w:tr>
        <w:tc>
          <w:tcPr>
            <w:tcW w:type="dxa" w:w="4536"/>
          </w:tcPr>
          <w:p>
            <w:r>
              <w:rPr>
                <w:rFonts w:ascii="Times New Roman" w:hAnsi="Times New Roman"/>
                <w:sz w:val="20"/>
              </w:rPr>
              <w:t>JA-Gespräch mit Franz</w:t>
            </w:r>
          </w:p>
        </w:tc>
        <w:tc>
          <w:tcPr>
            <w:tcW w:type="dxa" w:w="4536"/>
          </w:tcPr>
          <w:p>
            <w:r>
              <w:rPr>
                <w:rFonts w:ascii="Times New Roman" w:hAnsi="Times New Roman"/>
                <w:sz w:val="20"/>
              </w:rPr>
              <w:t>noch nicht erfolgt (zweimal verschoben)</w:t>
            </w:r>
          </w:p>
        </w:tc>
      </w:tr>
      <w:tr>
        <w:tc>
          <w:tcPr>
            <w:tcW w:type="dxa" w:w="4536"/>
          </w:tcPr>
          <w:p>
            <w:r>
              <w:rPr>
                <w:rFonts w:ascii="Times New Roman" w:hAnsi="Times New Roman"/>
                <w:sz w:val="20"/>
              </w:rPr>
              <w:t>Cochemer Termin 3</w:t>
            </w:r>
          </w:p>
        </w:tc>
        <w:tc>
          <w:tcPr>
            <w:tcW w:type="dxa" w:w="4536"/>
          </w:tcPr>
          <w:p>
            <w:r>
              <w:rPr>
                <w:rFonts w:ascii="Times New Roman" w:hAnsi="Times New Roman"/>
                <w:sz w:val="20"/>
              </w:rPr>
              <w:t>noch nicht vereinbart</w:t>
            </w:r>
          </w:p>
        </w:tc>
      </w:tr>
      <w:tr>
        <w:tc>
          <w:tcPr>
            <w:tcW w:type="dxa" w:w="4536"/>
          </w:tcPr>
          <w:p>
            <w:r>
              <w:rPr>
                <w:rFonts w:ascii="Times New Roman" w:hAnsi="Times New Roman"/>
                <w:sz w:val="20"/>
              </w:rPr>
              <w:t>JA-Einschätzung Kindeswohlgefährdung</w:t>
            </w:r>
          </w:p>
        </w:tc>
        <w:tc>
          <w:tcPr>
            <w:tcW w:type="dxa" w:w="4536"/>
          </w:tcPr>
          <w:p>
            <w:r>
              <w:rPr>
                <w:rFonts w:ascii="Times New Roman" w:hAnsi="Times New Roman"/>
                <w:sz w:val="20"/>
              </w:rPr>
              <w:t>noch nicht förmlich mitgeteilt</w:t>
            </w:r>
          </w:p>
        </w:tc>
      </w:tr>
      <w:tr>
        <w:tc>
          <w:tcPr>
            <w:tcW w:type="dxa" w:w="4536"/>
          </w:tcPr>
          <w:p>
            <w:r>
              <w:rPr>
                <w:rFonts w:ascii="Times New Roman" w:hAnsi="Times New Roman"/>
                <w:sz w:val="20"/>
              </w:rPr>
              <w:t>Ggf. Einschaltung Familiengericht durch JA (§ 8a SGB VIII)</w:t>
            </w:r>
          </w:p>
        </w:tc>
        <w:tc>
          <w:tcPr>
            <w:tcW w:type="dxa" w:w="4536"/>
          </w:tcPr>
          <w:p>
            <w:r>
              <w:rPr>
                <w:rFonts w:ascii="Times New Roman" w:hAnsi="Times New Roman"/>
                <w:sz w:val="20"/>
              </w:rPr>
              <w:t>noch kein Anhaltspunkt</w:t>
            </w:r>
          </w:p>
        </w:tc>
      </w:tr>
    </w:tbl>
    <w:p>
      <w:pPr>
        <w:jc w:val="left"/>
      </w:pPr>
      <w:r>
        <w:t>Das Jugendamt hat bisher keine förmliche Kindeswohlgefährdung festgestellt. Frau Kowalczyk hat mündlich erklärt, die Situation sei „engmaschig im Blick". Das ist für Hanna unbefriedigend, aber nach aktuellem Stand vertretbar.</w:t>
      </w:r>
    </w:p>
    <w:p/>
    <w:p>
      <w:pPr>
        <w:pStyle w:val="Heading2"/>
      </w:pPr>
      <w:r>
        <w:rPr>
          <w:rFonts w:ascii="Times New Roman" w:hAnsi="Times New Roman"/>
        </w:rPr>
        <w:t>6. Strategischer Hinweis</w:t>
      </w:r>
    </w:p>
    <w:p>
      <w:pPr>
        <w:jc w:val="left"/>
      </w:pPr>
      <w:r>
        <w:t>Das Jugendamt ist kein Verbündeter und kein Gegner, sondern ein unabhängiger Träger öffentlicher Aufgaben. Die Kanzlei rät Hanna, den Kontakt konstruktiv zu gestalten: Volle Transparenz gegenüber dem JA, keine Übertreibung, keine Wertung. Das JA kann im Familiengericht eine wichtige Verfahrensrolle spielen: Es wird im Verfahren nach § 50 SGB VIII zur Situation der Kinder Stellung nehmen. Eine positive Beziehung Hannas zum JA stärkt die Glaubwürdigkeit ihrer Angaben vor Gericht.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