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Prüfung Eilantrag § 1666 BGB i.V.m. § 49 FamFG</w:t>
      </w:r>
    </w:p>
    <w:p>
      <w:pPr>
        <w:jc w:val="left"/>
      </w:pPr>
      <w:r>
        <w:t>Stand: Mai 2025 (aktualisiert September 2025)</w:t>
      </w:r>
    </w:p>
    <w:p>
      <w:pPr>
        <w:jc w:val="left"/>
      </w:pPr>
      <w:r>
        <w:t>Bearbeiterin: RAin Dr. Friederike Pohl-Krauss / RAin Helmstedt</w:t>
      </w:r>
    </w:p>
    <w:p/>
    <w:p>
      <w:pPr>
        <w:pStyle w:val="Heading2"/>
      </w:pPr>
      <w:r>
        <w:rPr>
          <w:rFonts w:ascii="Times New Roman" w:hAnsi="Times New Roman"/>
        </w:rPr>
        <w:t>1. Fragestellung</w:t>
      </w:r>
    </w:p>
    <w:p>
      <w:pPr>
        <w:jc w:val="left"/>
      </w:pPr>
      <w:r>
        <w:t>Hanna Trüffelberch möchte wissen, ob sie einen gerichtlichen Eilantrag mit dem Ziel einer einstweiligen Anordnung (EAO) stellen soll, die den Umgang der Kinder mit Franz Trüffelberch einstweilen aussetzen oder unter Begleitung stellen soll. Grundlage wäre § 1666 BGB (Kindeswohlgefährdung) i.V.m. § 49 FamFG (einstweilige Anordnung im Kindschaftsverfahren).</w:t>
      </w:r>
    </w:p>
    <w:p/>
    <w:p>
      <w:pPr>
        <w:pStyle w:val="Heading2"/>
      </w:pPr>
      <w:r>
        <w:rPr>
          <w:rFonts w:ascii="Times New Roman" w:hAnsi="Times New Roman"/>
        </w:rPr>
        <w:t>2. Materielle Voraussetzungen des § 1666 BGB</w:t>
      </w:r>
    </w:p>
    <w:p>
      <w:pPr>
        <w:jc w:val="left"/>
      </w:pPr>
      <w:r>
        <w:t>§ 1666 BGB ermöglicht gerichtliche Maßnahmen, wenn das körperliche, geistige oder seelische Wohl des Kindes gefährdet ist und die Eltern nicht gewillt oder in der Lage sind, die Gefahr abzuwenden.</w:t>
      </w:r>
    </w:p>
    <w:p>
      <w:pPr>
        <w:jc w:val="left"/>
      </w:pPr>
      <w:r>
        <w:rPr>
          <w:b/>
        </w:rPr>
        <w:t>Voraussetzungsprüfung:</w:t>
      </w:r>
    </w:p>
    <w:p>
      <w:pPr>
        <w:pStyle w:val="Heading3"/>
      </w:pPr>
      <w:r>
        <w:rPr>
          <w:rFonts w:ascii="Times New Roman" w:hAnsi="Times New Roman"/>
        </w:rPr>
        <w:t>2.1 Gefährdung des Kindeswohls</w:t>
      </w:r>
    </w:p>
    <w:p>
      <w:pPr>
        <w:jc w:val="left"/>
      </w:pPr>
      <w:r>
        <w:t>Eine Gefährdung setzt voraus, dass eine gegenwärtige, in einem solchen Maß vorhandene Gefahr besteht, dass bei ihrer Fortdauer eine erhebliche Schädigung des Kindes mit hinreichender Wahrscheinlichkeit zu erwarten ist.</w:t>
      </w:r>
    </w:p>
    <w:p>
      <w:pPr>
        <w:jc w:val="left"/>
      </w:pPr>
      <w:r>
        <w:t>Der Alkohol-Vorfall vom 22.02.2025 (Aktenstück 06) belegt:</w:t>
      </w:r>
    </w:p>
    <w:p>
      <w:pPr>
        <w:pStyle w:val="ListBullet"/>
      </w:pPr>
      <w:r>
        <w:t>Franz hatte erheblich getrunken (Maras Schilderung: mehrere Flaschen Bier, unsicherer Gang, laute Stimme, Einschlafen auf Sofa).</w:t>
      </w:r>
    </w:p>
    <w:p>
      <w:pPr>
        <w:pStyle w:val="ListBullet"/>
      </w:pPr>
      <w:r>
        <w:t>Mara (15) hat die Situation eigenständig gemanagt und die Jüngeren (Jonas 12, Lina 9) in ihr Zimmer geholt — ein deutliches Zeichen, dass die Kinder sich in einer Lage sahen, die eigentlich elterliche Aufsicht erfordert hätte.</w:t>
      </w:r>
    </w:p>
    <w:p>
      <w:pPr>
        <w:pStyle w:val="ListBullet"/>
      </w:pPr>
      <w:r>
        <w:t>Lina hat geweint, Jonas war auffällig schweigsam. Schulpsychologin hat mit Mara gesprochen.</w:t>
      </w:r>
    </w:p>
    <w:p>
      <w:pPr>
        <w:jc w:val="left"/>
      </w:pPr>
      <w:r>
        <w:rPr>
          <w:b/>
        </w:rPr>
        <w:t>Gegenpunkte:</w:t>
      </w:r>
    </w:p>
    <w:p>
      <w:pPr>
        <w:pStyle w:val="ListBullet"/>
      </w:pPr>
      <w:r>
        <w:t>Keine körperliche Verletzung.</w:t>
      </w:r>
    </w:p>
    <w:p>
      <w:pPr>
        <w:pStyle w:val="ListBullet"/>
      </w:pPr>
      <w:r>
        <w:t>Keine ärztliche Untersuchung.</w:t>
      </w:r>
    </w:p>
    <w:p>
      <w:pPr>
        <w:pStyle w:val="ListBullet"/>
      </w:pPr>
      <w:r>
        <w:t>Einmaliges dokumentiertes Ereignis (soweit bekannt).</w:t>
      </w:r>
    </w:p>
    <w:p>
      <w:pPr>
        <w:pStyle w:val="ListBullet"/>
      </w:pPr>
      <w:r>
        <w:t>Franz hat den Vorfall bestritten.</w:t>
      </w:r>
    </w:p>
    <w:p>
      <w:pPr>
        <w:pStyle w:val="ListBullet"/>
      </w:pPr>
      <w:r>
        <w:t>Seither (März–September 2025) sechs weitere Umgangswochenenden ohne bekannte Vorfälle.</w:t>
      </w:r>
    </w:p>
    <w:p>
      <w:pPr>
        <w:jc w:val="left"/>
      </w:pPr>
      <w:r>
        <w:rPr>
          <w:b/>
        </w:rPr>
        <w:t>Zwischenergebnis:</w:t>
      </w:r>
      <w:r>
        <w:t xml:space="preserve"> Eine gegenwärtige und erhebliche Gefährdung i.S.d. § 1666 BGB ist auf der Grundlage eines einzelnen Vorfalls vor sechs Monaten nur schwer zu begründen. Das Familiengericht wird zurückhaltend sein. Ein Antrag auf vollständige Aussetzung des Umgangs wäre derzeit nach Aktenlage kaum erfolgversprechend.</w:t>
      </w:r>
    </w:p>
    <w:p>
      <w:pPr>
        <w:pStyle w:val="Heading3"/>
      </w:pPr>
      <w:r>
        <w:rPr>
          <w:rFonts w:ascii="Times New Roman" w:hAnsi="Times New Roman"/>
        </w:rPr>
        <w:t>2.2 Fehlende elterliche Abhilfe</w:t>
      </w:r>
    </w:p>
    <w:p>
      <w:pPr>
        <w:jc w:val="left"/>
      </w:pPr>
      <w:r>
        <w:t>Franz bestreitet den Vorfall. Er hat das Jugendamtsgespräch zweimal verschoben. Er blockiert den zweiten Cochemer-Termin. Das zeigt fehlende Kooperationsbereitschaft — aber nicht zwingend Unfähigkeit oder Unwillen zur Kindeswohlsicherung im gesetzlichen Sinne.</w:t>
      </w:r>
    </w:p>
    <w:p/>
    <w:p>
      <w:pPr>
        <w:pStyle w:val="Heading2"/>
      </w:pPr>
      <w:r>
        <w:rPr>
          <w:rFonts w:ascii="Times New Roman" w:hAnsi="Times New Roman"/>
        </w:rPr>
        <w:t>3. Verfahrensrechtliche Grundlage: § 49 FamFG</w:t>
      </w:r>
    </w:p>
    <w:p>
      <w:pPr>
        <w:jc w:val="left"/>
      </w:pPr>
      <w:r>
        <w:t>Im Kindschaftsverfahren kann das Familiengericht einstweilige Anordnungen treffen, wenn dies zum Wohl des Kindes erforderlich ist. Die Anordnung kann ergehen ohne mündliche Verhandlung, wenn das Abwarten einer Verhandlung den Zweck der einstweiligen Anordnung gefährden würde (§ 49 Abs. 2 FamFG). Eine vollständige Aussetzung des Umgangsrechts als einstweilige Anordnung setzt dringende Erforderlichkeit voraus.</w:t>
      </w:r>
    </w:p>
    <w:p>
      <w:pPr>
        <w:jc w:val="left"/>
      </w:pPr>
      <w:r>
        <w:t>Alternativ zum vollständigen Umgangsausschluss kommen nach § 1684 Abs. 4 BGB auch folgende Anordnungen in Betracht:</w:t>
      </w:r>
    </w:p>
    <w:p>
      <w:pPr>
        <w:pStyle w:val="ListBullet"/>
      </w:pPr>
      <w:r>
        <w:t>Begleiteter Umgang (Anwesenheit einer dritten Person).</w:t>
      </w:r>
    </w:p>
    <w:p>
      <w:pPr>
        <w:pStyle w:val="ListBullet"/>
      </w:pPr>
      <w:r>
        <w:t>Einschränkung der Umgangszeiten.</w:t>
      </w:r>
    </w:p>
    <w:p>
      <w:pPr>
        <w:pStyle w:val="ListBullet"/>
      </w:pPr>
      <w:r>
        <w:t>Bedingungen für den Umgang (z.B. Alkoholtestpflicht vor Abholen).</w:t>
      </w:r>
    </w:p>
    <w:p>
      <w:pPr>
        <w:jc w:val="left"/>
      </w:pPr>
      <w:r>
        <w:t>Diese Maßnahmen sind deutlich leichter zu begründen und weniger eingriffsintensiv. Sie wären als erste gerichtliche Reaktion realistischer.</w:t>
      </w:r>
    </w:p>
    <w:p/>
    <w:p>
      <w:pPr>
        <w:pStyle w:val="Heading2"/>
      </w:pPr>
      <w:r>
        <w:rPr>
          <w:rFonts w:ascii="Times New Roman" w:hAnsi="Times New Roman"/>
        </w:rPr>
        <w:t>4. Taktische Risiken</w:t>
      </w:r>
    </w:p>
    <w:p>
      <w:pPr>
        <w:pStyle w:val="Heading3"/>
      </w:pPr>
      <w:r>
        <w:rPr>
          <w:rFonts w:ascii="Times New Roman" w:hAnsi="Times New Roman"/>
        </w:rPr>
        <w:t>4.1 Backfire-Risiko</w:t>
      </w:r>
    </w:p>
    <w:p>
      <w:pPr>
        <w:jc w:val="left"/>
      </w:pPr>
      <w:r>
        <w:t>Ein Eilantrag, der vom Gericht als unbegründet abgelehnt wird, kann Hanna schaden:</w:t>
      </w:r>
    </w:p>
    <w:p>
      <w:pPr>
        <w:pStyle w:val="ListBullet"/>
      </w:pPr>
      <w:r>
        <w:t>Es stärkt Franz' Position im Umgangsrechtsstreit.</w:t>
      </w:r>
    </w:p>
    <w:p>
      <w:pPr>
        <w:pStyle w:val="ListBullet"/>
      </w:pPr>
      <w:r>
        <w:t>Das Gericht könnte Hanna als übergriffig oder unkooperativ wahrnehmen.</w:t>
      </w:r>
    </w:p>
    <w:p>
      <w:pPr>
        <w:pStyle w:val="ListBullet"/>
      </w:pPr>
      <w:r>
        <w:t>Das JA könnte kritisch reagieren, wenn es den Antrag für verfrüht hält.</w:t>
      </w:r>
    </w:p>
    <w:p>
      <w:pPr>
        <w:pStyle w:val="Heading3"/>
      </w:pPr>
      <w:r>
        <w:rPr>
          <w:rFonts w:ascii="Times New Roman" w:hAnsi="Times New Roman"/>
        </w:rPr>
        <w:t>4.2 Kinder im Rampenlicht</w:t>
      </w:r>
    </w:p>
    <w:p>
      <w:pPr>
        <w:jc w:val="left"/>
      </w:pPr>
      <w:r>
        <w:t>Gerichtliche Maßnahmen nach § 1666 BGB führen in der Regel zu einer Anhörung der Kinder (§ 159 FamFG) und oft zu einem Sachverständigengutachten (§ 163 FamFG). Das belastet die Kinder erheblich und ist für die noch laufende Cochemer-Beratung kontraproduktiv.</w:t>
      </w:r>
    </w:p>
    <w:p>
      <w:pPr>
        <w:pStyle w:val="Heading3"/>
      </w:pPr>
      <w:r>
        <w:rPr>
          <w:rFonts w:ascii="Times New Roman" w:hAnsi="Times New Roman"/>
        </w:rPr>
        <w:t>4.3 Verfahrensbeistandschaft</w:t>
      </w:r>
    </w:p>
    <w:p>
      <w:pPr>
        <w:jc w:val="left"/>
      </w:pPr>
      <w:r>
        <w:t>Ein Eilantrag löst möglicherweise eine Verfahrensbeistandschaft nach § 158 FamFG aus. Das ist grundsätzlich nicht nachteilig — gibt aber dem Verfahrensbeistand eine eigenständige Rolle, die nicht immer mit Hannas Wünschen übereinstimmt.</w:t>
      </w:r>
    </w:p>
    <w:p/>
    <w:p>
      <w:pPr>
        <w:pStyle w:val="Heading2"/>
      </w:pPr>
      <w:r>
        <w:rPr>
          <w:rFonts w:ascii="Times New Roman" w:hAnsi="Times New Roman"/>
        </w:rPr>
        <w:t>5. Empfehlung (Stand September 2025)</w:t>
      </w:r>
    </w:p>
    <w:p>
      <w:pPr>
        <w:jc w:val="left"/>
      </w:pPr>
      <w:r>
        <w:t xml:space="preserve">Die Kanzlei empfiehlt, den Eilantrag nach § 1666 BGB i.V.m. § 49 FamFG zum jetzigen Zeitpunkt </w:t>
      </w:r>
      <w:r>
        <w:rPr>
          <w:b/>
        </w:rPr>
        <w:t>nicht</w:t>
      </w:r>
      <w:r>
        <w:t xml:space="preserve"> einzureichen, sondern folgende Bedingungen abzuwarten:</w:t>
      </w:r>
    </w:p>
    <w:p>
      <w:pPr>
        <w:pStyle w:val="ListNumber"/>
      </w:pPr>
      <w:r>
        <w:t>Ergebnis des JA-Gesprächs mit Franz (steht noch aus).</w:t>
      </w:r>
    </w:p>
    <w:p>
      <w:pPr>
        <w:pStyle w:val="ListNumber"/>
      </w:pPr>
      <w:r>
        <w:t>Weiterer Vorfall — sofern er eintritt, sofortige Dokumentation und dann Eilantrag.</w:t>
      </w:r>
    </w:p>
    <w:p>
      <w:pPr>
        <w:pStyle w:val="ListNumber"/>
      </w:pPr>
      <w:r>
        <w:t>Ggf. Antrag auf freiwilligen begleiteten Umgang als außergerichtliche Zwischenlösung.</w:t>
      </w:r>
    </w:p>
    <w:p>
      <w:pPr>
        <w:jc w:val="left"/>
      </w:pPr>
      <w:r>
        <w:t>Sollte es einen weiteren Vorfall geben (insbes. mit Belegen: Arztbescheinigung, Polizeiprotokoll, Aussagen der Kinder gegenüber Dritten), ist der Eilantrag nach § 1666 BGB mit Beantragung von begleitetem Umgang als Zwischenstufe vorzubereiten. Ein entsprechender Entwurf liegt als DOCX-Anlage vor (Anhang: eilantrag_1666_bgb_entwurf.docx).</w:t>
      </w:r>
    </w:p>
    <w:p/>
    <w:p>
      <w:pPr>
        <w:pStyle w:val="Heading2"/>
      </w:pPr>
      <w:r>
        <w:rPr>
          <w:rFonts w:ascii="Times New Roman" w:hAnsi="Times New Roman"/>
        </w:rPr>
        <w:t>6. Entwurf Eilantrag (Grundstruktur)</w:t>
      </w:r>
    </w:p>
    <w:p>
      <w:pPr>
        <w:jc w:val="left"/>
      </w:pPr>
      <w:r>
        <w:t>Der DOCX-Entwurf enthält folgende Struktur:</w:t>
      </w:r>
    </w:p>
    <w:p>
      <w:pPr>
        <w:pStyle w:val="ListNumber"/>
      </w:pPr>
      <w:r>
        <w:t>Rubrum: Hanna Trüffelberch (Ast.) / Franz Trüffelberch (Ag.) / Kinder: Mara, Jonas, Lina</w:t>
      </w:r>
    </w:p>
    <w:p>
      <w:pPr>
        <w:pStyle w:val="ListNumber"/>
      </w:pPr>
      <w:r>
        <w:t>Sachverhaltsdarstellung: Vorfall 22./23.02.2025, Maras Aussage, Schulpsychologen-Kontakt, JA-Meldung</w:t>
      </w:r>
    </w:p>
    <w:p>
      <w:pPr>
        <w:pStyle w:val="ListNumber"/>
      </w:pPr>
      <w:r>
        <w:t>Rechtliche Würdigung: § 1666 Abs. 3 Nr. 4 BGB (Gebot/Verbot gegenüber dem Elternteil) als Grundlage für begleiteten Umgang</w:t>
      </w:r>
    </w:p>
    <w:p>
      <w:pPr>
        <w:pStyle w:val="ListNumber"/>
      </w:pPr>
      <w:r>
        <w:t>Antrag: Einstweilige Anordnung — Umgang nur begleitet durch Fachkraft des JA oder einer anerkannten Beratungsstelle, bis zur endgültigen Regelung im Hauptsacheverfahren</w:t>
      </w:r>
    </w:p>
    <w:p>
      <w:pPr>
        <w:pStyle w:val="ListNumber"/>
      </w:pPr>
      <w:r>
        <w:t>Beweisangebote: Maras Aussage (ggf. mittelbar durch Schulpsychologin), JA-Stellungnahme</w:t>
      </w:r>
    </w:p>
    <w:p>
      <w:pPr>
        <w:jc w:val="left"/>
      </w:pPr>
      <w:r>
        <w:t>Hinweis: Der Entwurf ist noch nicht eingereicht. Er bedarf weiterer Abstimmung mit RAin Helmstedt und Hanna, insbes. bezüglich der Kinderbefragung.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