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Umgangsregelung — Entwürfe und aktueller Stand</w:t>
      </w:r>
    </w:p>
    <w:p>
      <w:pPr>
        <w:jc w:val="left"/>
      </w:pPr>
      <w:r>
        <w:t>Stand: September 2025</w:t>
      </w:r>
    </w:p>
    <w:p>
      <w:pPr>
        <w:jc w:val="left"/>
      </w:pPr>
      <w:r>
        <w:t>Bearbeiterin: RAin Dr. Friederike Pohl-Krauss / RAin Helmstedt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Seit dem Auszug Franz' am 14.11.2024 gilt faktisch eine informelle Umgangsregelung ohne schriftliche Fixierung, ohne Gerichtsbeschluss, ohne Jugendamtsvereinbarung:</w:t>
      </w:r>
    </w:p>
    <w:p>
      <w:pPr>
        <w:pStyle w:val="ListBullet"/>
      </w:pPr>
      <w:r>
        <w:rPr>
          <w:b/>
        </w:rPr>
        <w:t>14-tägiges Wochenende</w:t>
      </w:r>
      <w:r>
        <w:t xml:space="preserve"> Franz: Freitag Schulschluss (ca. 16:00 Uhr) bis Sonntag 18:00 Uhr.</w:t>
      </w:r>
    </w:p>
    <w:p>
      <w:pPr>
        <w:pStyle w:val="ListBullet"/>
      </w:pPr>
      <w:r>
        <w:rPr>
          <w:b/>
        </w:rPr>
        <w:t>Mittwochabend:</w:t>
      </w:r>
      <w:r>
        <w:t xml:space="preserve"> Abholung 17:00, Rückgabe 20:00, kein Übernachten.</w:t>
      </w:r>
    </w:p>
    <w:p>
      <w:pPr>
        <w:jc w:val="left"/>
      </w:pPr>
      <w:r>
        <w:t>Diese Regelung entspricht ungefähr einem erweiterten Residenzmodell und wird von beiden Seiten faktisch gelebt — mit Reibungen (Pünktlichkeit Franz, Fußballtraining Jonas, Schulpflichten).</w:t>
      </w:r>
    </w:p>
    <w:p>
      <w:pPr>
        <w:jc w:val="left"/>
      </w:pPr>
      <w:r>
        <w:t xml:space="preserve">Franz' Forderung (formell erst ab März 2025 durch RAin Ganzhorn schriftlich): </w:t>
      </w:r>
      <w:r>
        <w:rPr>
          <w:b/>
        </w:rPr>
        <w:t>Wechselmodell 50/50</w:t>
      </w:r>
      <w:r>
        <w:t>. Konkret gefordert: Wochenrhythmus im wöchentlichen Wechsel, Schulanmeldung Jonas und Lina in der Nähe von Bothfeld überprüfen.</w:t>
      </w:r>
    </w:p>
    <w:p/>
    <w:p>
      <w:pPr>
        <w:pStyle w:val="Heading2"/>
      </w:pPr>
      <w:r>
        <w:rPr>
          <w:rFonts w:ascii="Times New Roman" w:hAnsi="Times New Roman"/>
        </w:rPr>
        <w:t>2. Entwurf A — Status quo / Erweitertes Residenzmodell (Hannas Präferenz)</w:t>
      </w:r>
    </w:p>
    <w:p>
      <w:pPr>
        <w:jc w:val="left"/>
      </w:pPr>
      <w:r>
        <w:rPr>
          <w:b/>
        </w:rPr>
        <w:t>Grundstruktur:</w:t>
      </w:r>
    </w:p>
    <w:p>
      <w:pPr>
        <w:pStyle w:val="ListBullet"/>
      </w:pPr>
      <w:r>
        <w:t>Primäre Betreuung: Hanna (Wohnort Lindener Hofstraße 47).</w:t>
      </w:r>
    </w:p>
    <w:p>
      <w:pPr>
        <w:pStyle w:val="ListBullet"/>
      </w:pPr>
      <w:r>
        <w:t>Franz: 14-tägiges Wochenende, Freitag 16:30 Uhr bis Sonntag 18:00 Uhr.</w:t>
      </w:r>
    </w:p>
    <w:p>
      <w:pPr>
        <w:pStyle w:val="ListBullet"/>
      </w:pPr>
      <w:r>
        <w:t>Franz: Mittwoch 17:00 bis 20:00 Uhr (ohne Übernachten).</w:t>
      </w:r>
    </w:p>
    <w:p>
      <w:pPr>
        <w:pStyle w:val="ListBullet"/>
      </w:pPr>
      <w:r>
        <w:t>Zusätzlich: Ein Ferienwochenende pro Schulhalbjahr nach Absprache, je hälftige Ferienteilung (Sommer je 2 Wochen, Weihnachten wechselnd, Ostern wechselnd).</w:t>
      </w:r>
    </w:p>
    <w:p>
      <w:pPr>
        <w:jc w:val="left"/>
      </w:pPr>
      <w:r>
        <w:rPr>
          <w:b/>
        </w:rPr>
        <w:t>Besonderheiten:</w:t>
      </w:r>
    </w:p>
    <w:p>
      <w:pPr>
        <w:pStyle w:val="ListBullet"/>
      </w:pPr>
      <w:r>
        <w:t>Jonas' Fußballspiele samstags: bei Franz-Wochenende Bringpflicht Franz.</w:t>
      </w:r>
    </w:p>
    <w:p>
      <w:pPr>
        <w:pStyle w:val="ListBullet"/>
      </w:pPr>
      <w:r>
        <w:t>Linas Ballettunterricht montags: entfällt bei Franz-Wochenenden nicht (montags schon wieder Hanna).</w:t>
      </w:r>
    </w:p>
    <w:p>
      <w:pPr>
        <w:pStyle w:val="ListBullet"/>
      </w:pPr>
      <w:r>
        <w:t>Ärztliche Entscheidungen: gemeinsam, bei Uneinigkeit VÄ Hannover entscheidet.</w:t>
      </w:r>
    </w:p>
    <w:p>
      <w:pPr>
        <w:pStyle w:val="ListBullet"/>
      </w:pPr>
      <w:r>
        <w:t>Schulentscheidungen: gemeinsam; Schulwechsel nur einvernehmlich.</w:t>
      </w:r>
    </w:p>
    <w:p>
      <w:pPr>
        <w:jc w:val="left"/>
      </w:pPr>
      <w:r>
        <w:rPr>
          <w:b/>
        </w:rPr>
        <w:t>Begründung:</w:t>
      </w:r>
    </w:p>
    <w:p>
      <w:pPr>
        <w:jc w:val="left"/>
      </w:pPr>
      <w:r>
        <w:t>Alle drei Kinder sind in Hannover-Linden verwurzelt (Schule, Freunde, Hobbys). Ein Schulwechsel für Jonas oder Lina wäre erhebliche Belastung. Die Hauptpflegelast lag und liegt bei Hanna; die psychologische Bindung der jüngeren Kinder an Hanna ist nach dem Jugendamtsgespräch evident. Mara hat geäußert, keine starken Wechsel zu wollen.</w:t>
      </w:r>
    </w:p>
    <w:p/>
    <w:p>
      <w:pPr>
        <w:pStyle w:val="Heading2"/>
      </w:pPr>
      <w:r>
        <w:rPr>
          <w:rFonts w:ascii="Times New Roman" w:hAnsi="Times New Roman"/>
        </w:rPr>
        <w:t>3. Entwurf B — Cochemer-Empfehlung (Kompromiss)</w:t>
      </w:r>
    </w:p>
    <w:p>
      <w:pPr>
        <w:jc w:val="left"/>
      </w:pPr>
      <w:r>
        <w:t>Frau Brandt (Familienpsychologin) hat im April-Termin eine Brückenempfehlung formuliert, die sie als „Cochem-Konsens" bezeichnet hat:</w:t>
      </w:r>
    </w:p>
    <w:p>
      <w:pPr>
        <w:jc w:val="left"/>
      </w:pPr>
      <w:r>
        <w:rPr>
          <w:b/>
        </w:rPr>
        <w:t>Grundstruktur:</w:t>
      </w:r>
    </w:p>
    <w:p>
      <w:pPr>
        <w:pStyle w:val="ListBullet"/>
      </w:pPr>
      <w:r>
        <w:t>Reguläre Betreuung: Hanna (70 %), Franz (30 %).</w:t>
      </w:r>
    </w:p>
    <w:p>
      <w:pPr>
        <w:pStyle w:val="ListBullet"/>
      </w:pPr>
      <w:r>
        <w:t>Franz: Wochenrhythmus A/B, wobei Woche A: Freitag bis Montag Früh Schule, Woche B: Mittwoch Schulschluss bis Freitag Schulbeginn.</w:t>
      </w:r>
    </w:p>
    <w:p>
      <w:pPr>
        <w:pStyle w:val="ListBullet"/>
      </w:pPr>
      <w:r>
        <w:t>In den Schulferien: 50/50-Teilung möglich, nach Plan.</w:t>
      </w:r>
    </w:p>
    <w:p>
      <w:pPr>
        <w:jc w:val="left"/>
      </w:pPr>
      <w:r>
        <w:rPr>
          <w:b/>
        </w:rPr>
        <w:t>Bedingung:</w:t>
      </w:r>
      <w:r>
        <w:t xml:space="preserve"> Beide Elternteile nehmen an drei weiteren Cochemer-Gesprächen teil. Franz hat bisher nicht zugestimmt (zweiten Termin abgesagt).</w:t>
      </w:r>
    </w:p>
    <w:p>
      <w:pPr>
        <w:jc w:val="left"/>
      </w:pPr>
      <w:r>
        <w:rPr>
          <w:b/>
        </w:rPr>
        <w:t>Hanna-Einschätzung:</w:t>
      </w:r>
      <w:r>
        <w:t xml:space="preserve"> Sie ist bereit, dieses Modell zumindest als Übergangslösung zu tragen — unter der Bedingung, dass Franz die Alkoholfrage klärt und dass ein zweiter Cochemer-Termin stattfindet.</w:t>
      </w:r>
    </w:p>
    <w:p/>
    <w:p>
      <w:pPr>
        <w:pStyle w:val="Heading2"/>
      </w:pPr>
      <w:r>
        <w:rPr>
          <w:rFonts w:ascii="Times New Roman" w:hAnsi="Times New Roman"/>
        </w:rPr>
        <w:t>4. Entwurf C — Wechselmodell (Franz' Forderung)</w:t>
      </w:r>
    </w:p>
    <w:p>
      <w:pPr>
        <w:jc w:val="left"/>
      </w:pPr>
      <w:r>
        <w:rPr>
          <w:b/>
        </w:rPr>
        <w:t>Grundstruktur:</w:t>
      </w:r>
      <w:r>
        <w:t xml:space="preserve"> Strikte 50/50-Aufteilung, 14-tägiger Wochenwechsel.</w:t>
      </w:r>
    </w:p>
    <w:p>
      <w:pPr>
        <w:jc w:val="left"/>
      </w:pPr>
      <w:r>
        <w:t>Franz möchte Jonas und Lina in der Nähe seiner Wohnung einschulen (oder ummelden); für Mara wäre ein Schulwechsel wegen Kl. 10 unrealistisch.</w:t>
      </w:r>
    </w:p>
    <w:p>
      <w:pPr>
        <w:jc w:val="left"/>
      </w:pPr>
      <w:r>
        <w:rPr>
          <w:b/>
        </w:rPr>
        <w:t>Rechtliche Lage:</w:t>
      </w:r>
    </w:p>
    <w:p>
      <w:pPr>
        <w:jc w:val="left"/>
      </w:pPr>
      <w:r>
        <w:t>Das Wechselmodell ist seit den Leitentscheidungen des BGH (XII ZB 601/15, 01.02.2017) keine per se bevorzugte Lösung; das Gericht prüft am Kindeswohl. Maßgeblich ist: Kooperationsfähigkeit der Eltern, räumliche Nähe, Kindeswille, schulische Situation.</w:t>
      </w:r>
    </w:p>
    <w:p>
      <w:pPr>
        <w:jc w:val="left"/>
      </w:pPr>
      <w:r>
        <w:t>Gegen das Wechselmodell spricht hier:</w:t>
      </w:r>
    </w:p>
    <w:p>
      <w:pPr>
        <w:pStyle w:val="ListBullet"/>
      </w:pPr>
      <w:r>
        <w:t>Räumliche Distanz (Linden vs. Bothfeld, ca. 7 km, aber unterschiedliche Schulbezirke).</w:t>
      </w:r>
    </w:p>
    <w:p>
      <w:pPr>
        <w:pStyle w:val="ListBullet"/>
      </w:pPr>
      <w:r>
        <w:t>Fehlende Kooperationsfähigkeit zwischen Hanna und Franz (Cochemer-Abbruch durch Franz).</w:t>
      </w:r>
    </w:p>
    <w:p>
      <w:pPr>
        <w:pStyle w:val="ListBullet"/>
      </w:pPr>
      <w:r>
        <w:t>Maras Ablehnung (15 Jahre, Wille erheblich).</w:t>
      </w:r>
    </w:p>
    <w:p>
      <w:pPr>
        <w:pStyle w:val="ListBullet"/>
      </w:pPr>
      <w:r>
        <w:t>Alkohol-Vorfall und fehlende Auseinandersetzung Franz' damit.</w:t>
      </w:r>
    </w:p>
    <w:p>
      <w:pPr>
        <w:pStyle w:val="ListBullet"/>
      </w:pPr>
      <w:r>
        <w:t>Linas emotionale Reaktion nach dem Februarwochenende.</w:t>
      </w:r>
    </w:p>
    <w:p>
      <w:pPr>
        <w:jc w:val="left"/>
      </w:pPr>
      <w:r>
        <w:t>Für das Wechselmodell spricht:</w:t>
      </w:r>
    </w:p>
    <w:p>
      <w:pPr>
        <w:pStyle w:val="ListBullet"/>
      </w:pPr>
      <w:r>
        <w:t>Jonas hat signalisiert, Vater öfter sehen zu wollen.</w:t>
      </w:r>
    </w:p>
    <w:p>
      <w:pPr>
        <w:pStyle w:val="ListBullet"/>
      </w:pPr>
      <w:r>
        <w:t>Franz' Einkommen und Wohnraumsituation grundsätzlich geeignet.</w:t>
      </w:r>
    </w:p>
    <w:p>
      <w:pPr>
        <w:pStyle w:val="ListBullet"/>
      </w:pPr>
      <w:r>
        <w:t>§ 1684 Abs. 1 BGB: Kind hat Recht auf Umgang mit beiden Elternteilen.</w:t>
      </w:r>
    </w:p>
    <w:p>
      <w:pPr>
        <w:jc w:val="left"/>
      </w:pPr>
      <w:r>
        <w:rPr>
          <w:b/>
        </w:rPr>
        <w:t>Einschätzung:</w:t>
      </w:r>
      <w:r>
        <w:t xml:space="preserve"> Ein gerichtlich angeordnetes Wechselmodell ist bei der aktuellen Kooperationslage unwahrscheinlich. Das Gericht wird kaum ein Wechselmodell anordnen, wenn Eltern nicht kooperieren können.</w:t>
      </w:r>
    </w:p>
    <w:p/>
    <w:p>
      <w:pPr>
        <w:pStyle w:val="Heading2"/>
      </w:pPr>
      <w:r>
        <w:rPr>
          <w:rFonts w:ascii="Times New Roman" w:hAnsi="Times New Roman"/>
        </w:rPr>
        <w:t>5. Anhörung der Kinder (§ 159 FamFG)</w:t>
      </w:r>
    </w:p>
    <w:p>
      <w:pPr>
        <w:jc w:val="left"/>
      </w:pPr>
      <w:r>
        <w:t>In einem Kindschaftsverfahren (Sorge, Umgang) müssen die Kinder angehört werden:</w:t>
      </w:r>
    </w:p>
    <w:p>
      <w:pPr>
        <w:pStyle w:val="ListBullet"/>
      </w:pPr>
      <w:r>
        <w:t>Mara (15 Jahre): zwingend; ihre Äußerung hat erhebliches Gewicht (§ 159 Abs. 1 FamFG).</w:t>
      </w:r>
    </w:p>
    <w:p>
      <w:pPr>
        <w:pStyle w:val="ListBullet"/>
      </w:pPr>
      <w:r>
        <w:t>Jonas (12 Jahre): zwingend ab 14 Jahren, aber auch bei 12 in der Regel angehört; das Gericht entscheidet nach Ermessen.</w:t>
      </w:r>
    </w:p>
    <w:p>
      <w:pPr>
        <w:pStyle w:val="ListBullet"/>
      </w:pPr>
      <w:r>
        <w:t>Lina (9 Jahre): Anhörung möglich, aber nicht zwingend; oft durch Verfahrensbeistand vermittelt.</w:t>
      </w:r>
    </w:p>
    <w:p>
      <w:pPr>
        <w:jc w:val="left"/>
      </w:pPr>
      <w:r>
        <w:t>Mara hat gegenüber Hanna klar geäußert, nicht im Wochenwechsel pendeln zu wollen. Das ist relevant, bindet das Gericht aber nicht zwingend (§ 1697a BGB: Kindeswohl, nicht Kinderwille ist Maßstab).</w:t>
      </w:r>
    </w:p>
    <w:p>
      <w:pPr>
        <w:jc w:val="left"/>
      </w:pPr>
      <w:r>
        <w:t>Die Kanzlei empfiehlt, keine Vorbereitung der Kinder auf die Anhörung vorzunehmen. Hanna soll die Kinder nicht befragen oder „coachen". Das ist nicht zulässig und wäre kontraproduktiv.</w:t>
      </w:r>
    </w:p>
    <w:p/>
    <w:p>
      <w:pPr>
        <w:pStyle w:val="Heading2"/>
      </w:pPr>
      <w:r>
        <w:rPr>
          <w:rFonts w:ascii="Times New Roman" w:hAnsi="Times New Roman"/>
        </w:rPr>
        <w:t>6. Verfahrensbeistandschaft (§ 158 FamFG)</w:t>
      </w:r>
    </w:p>
    <w:p>
      <w:pPr>
        <w:jc w:val="left"/>
      </w:pPr>
      <w:r>
        <w:t>Sobald das Familiengericht befasst ist (entweder durch Eilantrag oder Scheidungsantrag mit Folgesache Umgang), wird es prüfen, ob ein Verfahrensbeistand zu bestellen ist. Näheres in Aktenstück 22.</w:t>
      </w:r>
    </w:p>
    <w:p/>
    <w:p>
      <w:pPr>
        <w:pStyle w:val="Heading2"/>
      </w:pPr>
      <w:r>
        <w:rPr>
          <w:rFonts w:ascii="Times New Roman" w:hAnsi="Times New Roman"/>
        </w:rPr>
        <w:t>7. Aktuelle Linie der Kanzlei (September 2025)</w:t>
      </w:r>
    </w:p>
    <w:p>
      <w:pPr>
        <w:jc w:val="left"/>
      </w:pPr>
      <w:r>
        <w:t>Die Kanzlei rät Hanna:</w:t>
      </w:r>
    </w:p>
    <w:p>
      <w:pPr>
        <w:pStyle w:val="ListNumber"/>
      </w:pPr>
      <w:r>
        <w:t>Status-quo-Regelung vorerst beibehalten.</w:t>
      </w:r>
    </w:p>
    <w:p>
      <w:pPr>
        <w:pStyle w:val="ListNumber"/>
      </w:pPr>
      <w:r>
        <w:t>Cochemer-Termin 3 aktiv einfordern — bei weiterer Verweigerung durch Franz beim Familiengericht protokollieren lassen.</w:t>
      </w:r>
    </w:p>
    <w:p>
      <w:pPr>
        <w:pStyle w:val="ListNumber"/>
      </w:pPr>
      <w:r>
        <w:t>Schriftliche Vereinbarungsentwurf (DOCX-Anhang) für einen verhandelten Kompromiss vorbereiten — Entwurf B als Ausgangspunkt.</w:t>
      </w:r>
    </w:p>
    <w:p>
      <w:pPr>
        <w:pStyle w:val="ListNumber"/>
      </w:pPr>
      <w:r>
        <w:t>Kein gerichtliches Verfahren erzwingen, solange kein weiterer Vorfall vorliegt.</w:t>
      </w:r>
    </w:p>
    <w:p>
      <w:pPr>
        <w:jc w:val="left"/>
      </w:pPr>
      <w:r>
        <w:t xml:space="preserve">Schriftlicher Entwurf einer Umgangsvereinbarung: siehe Anhang </w:t>
      </w:r>
      <w:r>
        <w:t>docx/umgangsregelung_vereinbarungsentwurf.docx</w:t>
      </w:r>
      <w:r>
        <w:t>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