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SBGG — Maras Antrag auf Personenstandswechsel</w:t>
      </w:r>
    </w:p>
    <w:p>
      <w:pPr>
        <w:jc w:val="left"/>
      </w:pPr>
      <w:r>
        <w:t>Stand: September 2025</w:t>
      </w:r>
    </w:p>
    <w:p>
      <w:pPr>
        <w:jc w:val="left"/>
      </w:pPr>
      <w:r>
        <w:t>Bearbeiterin: RAin Dr. Friederike Pohl-Krauss</w:t>
      </w:r>
    </w:p>
    <w:p/>
    <w:p>
      <w:pPr>
        <w:pStyle w:val="Heading2"/>
      </w:pPr>
      <w:r>
        <w:rPr>
          <w:rFonts w:ascii="Times New Roman" w:hAnsi="Times New Roman"/>
        </w:rPr>
        <w:t>1. Hintergrund</w:t>
      </w:r>
    </w:p>
    <w:p>
      <w:pPr>
        <w:jc w:val="left"/>
      </w:pPr>
      <w:r>
        <w:t>Mara Trüffelberch, geboren 2009 (15 Jahre), hat gegenüber Hanna seit ca. Sommer 2023 geäußert, sich nicht als Mädchen zu fühlen. Hanna hat das ernst genommen und sucht für Mara passende Unterstützung (Beratungsstelle für Kinder und Jugendliche zur Geschlechtsidentität, Hannover; Kontakt: Fachberatungsstelle „Kompass", Limmerstraße 40, 30449 Hannover). Mara hat keinen Wunsch nach medizinischen Maßnahmen geäußert; es geht zunächst ausschließlich um die rechtliche Änderung der Geschlechtsangabe und des Vornamens.</w:t>
      </w:r>
    </w:p>
    <w:p>
      <w:pPr>
        <w:jc w:val="left"/>
      </w:pPr>
      <w:r>
        <w:t>Im Juli 2025 hat Mara beim Standesamt Hannover-Mitte einen Antrag auf Änderung der Geschlechtsangabe (von „weiblich" zu „männlich") und des Vornamens nach dem Selbstbestimmungsgesetz (SBGG, in Kraft seit 01.11.2024) gestellt.</w:t>
      </w:r>
    </w:p>
    <w:p/>
    <w:p>
      <w:pPr>
        <w:pStyle w:val="Heading2"/>
      </w:pPr>
      <w:r>
        <w:rPr>
          <w:rFonts w:ascii="Times New Roman" w:hAnsi="Times New Roman"/>
        </w:rPr>
        <w:t>2. Das SBGG und sein Verfahren</w:t>
      </w:r>
    </w:p>
    <w:p>
      <w:pPr>
        <w:jc w:val="left"/>
      </w:pPr>
      <w:r>
        <w:t>Das SBGG (Gesetz über die Selbstbestimmung in Bezug auf den Geschlechtseintrag, BGBl. I 2024 Nr. 222) löst das bisherige Transsexuellengesetz (TSG) ab. Es ermöglicht volljährigen Personen die Änderung des Geschlechtseintrags und des Vornamens durch einfache Erklärung beim Standesamt, ohne ärztliche oder gerichtliche Genehmigung.</w:t>
      </w:r>
    </w:p>
    <w:p>
      <w:pPr>
        <w:jc w:val="left"/>
      </w:pPr>
      <w:r>
        <w:rPr>
          <w:b/>
        </w:rPr>
        <w:t>Für Minderjährige unter 14 Jahren</w:t>
      </w:r>
      <w:r>
        <w:t xml:space="preserve"> erklären die gesetzlichen Vertreter.</w:t>
      </w:r>
    </w:p>
    <w:p>
      <w:pPr>
        <w:jc w:val="left"/>
      </w:pPr>
      <w:r>
        <w:rPr>
          <w:b/>
        </w:rPr>
        <w:t>Für Minderjährige zwischen 14 und 17 Jahren</w:t>
      </w:r>
      <w:r>
        <w:t xml:space="preserve"> gilt § 2 Abs. 3 SBGG:</w:t>
      </w:r>
    </w:p>
    <w:p>
      <w:pPr>
        <w:ind w:left="567"/>
      </w:pPr>
      <w:r>
        <w:rPr>
          <w:i/>
        </w:rPr>
        <w:t>„Bei Minderjährigen, die das 14. Lebensjahr vollendet haben, wird die Erklärung von der betroffenen Person selbst abgegeben; sie bedarf der Zustimmung der Personen, denen die Personensorge zusteht."</w:t>
      </w:r>
    </w:p>
    <w:p>
      <w:pPr>
        <w:jc w:val="left"/>
      </w:pPr>
      <w:r>
        <w:t xml:space="preserve">Das bedeutet: Mara (15 Jahre) gibt die Erklärung selbst ab, benötigt aber die </w:t>
      </w:r>
      <w:r>
        <w:rPr>
          <w:b/>
        </w:rPr>
        <w:t>Zustimmung beider sorgeberechtigter Elternteile</w:t>
      </w:r>
      <w:r>
        <w:t xml:space="preserve">. Da die gemeinsame elterliche Sorge besteht (§ 1626 BGB; keine Sorgerechtsentscheidung bisher ergangen), müssen </w:t>
      </w:r>
      <w:r>
        <w:rPr>
          <w:b/>
        </w:rPr>
        <w:t>Hanna und Franz</w:t>
      </w:r>
      <w:r>
        <w:t xml:space="preserve"> beide zustimmen.</w:t>
      </w:r>
    </w:p>
    <w:p>
      <w:pPr>
        <w:jc w:val="left"/>
      </w:pPr>
      <w:r>
        <w:rPr>
          <w:b/>
        </w:rPr>
        <w:t>Wartefrist:</w:t>
      </w:r>
      <w:r>
        <w:t xml:space="preserve"> Nach § 2 Abs. 4 SBGG tritt die Änderung frühestens drei Monate nach Eingang der Erklärung beim Standesamt in Kraft. Die Erklärung Maras ging dem Standesamt Hannover-Mitte am 11.07.2025 zu. Frühester Wirkungszeitpunkt: 11.10.2025.</w:t>
      </w:r>
    </w:p>
    <w:p>
      <w:pPr>
        <w:jc w:val="left"/>
      </w:pPr>
      <w:r>
        <w:rPr>
          <w:b/>
        </w:rPr>
        <w:t>Beratungspflicht:</w:t>
      </w:r>
      <w:r>
        <w:t xml:space="preserve"> § 2 Abs. 5 SBGG sieht vor, dass Minderjährige eine Beratung in einer anerkannten Beratungsstelle nachweisen müssen. Der Beratungsschein (ausgestellt durch Fachberatungsstelle Kompass, 10.07.2025) liegt vor.</w:t>
      </w:r>
    </w:p>
    <w:p/>
    <w:p>
      <w:pPr>
        <w:pStyle w:val="Heading2"/>
      </w:pPr>
      <w:r>
        <w:rPr>
          <w:rFonts w:ascii="Times New Roman" w:hAnsi="Times New Roman"/>
        </w:rPr>
        <w:t>3. Franz' Position</w:t>
      </w:r>
    </w:p>
    <w:p>
      <w:pPr>
        <w:jc w:val="left"/>
      </w:pPr>
      <w:r>
        <w:t>Franz Trüffelberch hat der Erklärung nicht zugestimmt. Er hat Hanna mitgeteilt, er werde „das nicht unterschreiben". Über RAin Ganzhorn hat er schriftlich erklärt (Schreiben April 2025), er sehe den Antrag als „voreilig" und befürworte eine psychologische Begutachtung, bevor er zustimme. Er hat angedeutet, er wolle das Sorgerecht „überprüfen lassen", falls Hanna den Antrag ohne ihn durchsetzt.</w:t>
      </w:r>
    </w:p>
    <w:p>
      <w:pPr>
        <w:jc w:val="left"/>
      </w:pPr>
      <w:r>
        <w:t>Franz' Haltung ist in der Akte als erheblicher Konfliktpunkt dokumentiert. Seine Drohung, „das Sorgerecht zu entziehen", ist rechtlich nicht realisierbar (Sorgerecht kann nicht allein deshalb entzogen werden, weil ein Elternteil eine unterstützende Haltung gegenüber dem Kind einnimmt), aber sie zeigt die Schwere des Zerwürfnisses.</w:t>
      </w:r>
    </w:p>
    <w:p/>
    <w:p>
      <w:pPr>
        <w:pStyle w:val="Heading2"/>
      </w:pPr>
      <w:r>
        <w:rPr>
          <w:rFonts w:ascii="Times New Roman" w:hAnsi="Times New Roman"/>
        </w:rPr>
        <w:t>4. Rechtliche Fragen</w:t>
      </w:r>
    </w:p>
    <w:p>
      <w:pPr>
        <w:pStyle w:val="Heading3"/>
      </w:pPr>
      <w:r>
        <w:rPr>
          <w:rFonts w:ascii="Times New Roman" w:hAnsi="Times New Roman"/>
        </w:rPr>
        <w:t>4.1 Kann Hanna allein zustimmen?</w:t>
      </w:r>
    </w:p>
    <w:p>
      <w:pPr>
        <w:jc w:val="left"/>
      </w:pPr>
      <w:r>
        <w:t>Nein. § 2 Abs. 3 SBGG verlangt die Zustimmung aller Personen, denen die Personensorge zusteht. Da beide Elternteile gemeinsam sorgeberechtigt sind, ist Franz' Zustimmung erforderlich.</w:t>
      </w:r>
    </w:p>
    <w:p>
      <w:pPr>
        <w:pStyle w:val="Heading3"/>
      </w:pPr>
      <w:r>
        <w:rPr>
          <w:rFonts w:ascii="Times New Roman" w:hAnsi="Times New Roman"/>
        </w:rPr>
        <w:t>4.2 Gibt es einen gerichtlichen Ersatz für Franz' Verweigerung?</w:t>
      </w:r>
    </w:p>
    <w:p>
      <w:pPr>
        <w:jc w:val="left"/>
      </w:pPr>
      <w:r>
        <w:t>§ 2 Abs. 6 SBGG sieht für den Fall, dass die erforderliche Zustimmung nicht erteilt wird, eine familiengerichtliche Möglichkeit vor:</w:t>
      </w:r>
    </w:p>
    <w:p>
      <w:pPr>
        <w:ind w:left="567"/>
      </w:pPr>
      <w:r>
        <w:rPr>
          <w:i/>
        </w:rPr>
        <w:t>„Wird die Zustimmung verweigert, kann das Familiengericht auf Antrag des Minderjährigen die Zustimmung ersetzen, wenn die Verweigerung dem Wohl des Kindes widerspricht."</w:t>
      </w:r>
    </w:p>
    <w:p>
      <w:pPr>
        <w:jc w:val="left"/>
      </w:pPr>
      <w:r>
        <w:t>Das Familiengericht Hannover ist daher zuständig, auf Antrag Maras — ggf. vertreten durch einen Verfahrensbeistand oder auf Antrag Hannas als gesetzliche Vertreterin — die Zustimmung Franz' zu ersetzen.</w:t>
      </w:r>
    </w:p>
    <w:p>
      <w:pPr>
        <w:jc w:val="left"/>
      </w:pPr>
      <w:r>
        <w:rPr>
          <w:b/>
        </w:rPr>
        <w:t>Maßstab:</w:t>
      </w:r>
      <w:r>
        <w:t xml:space="preserve"> Das Wohl des Kindes. Das Gericht prüft, ob Franz' Verweigerung dem Wohl Maras widerspricht. Eine pauschale Verweigerung ohne sachliche Begründung (Franz' Argument ist ein allgemeines Unbehagen, keine konkrete Gefahr für Mara) wird einem Kindeswohltest voraussichtlich nicht standhalten.</w:t>
      </w:r>
    </w:p>
    <w:p>
      <w:pPr>
        <w:pStyle w:val="Heading3"/>
      </w:pPr>
      <w:r>
        <w:rPr>
          <w:rFonts w:ascii="Times New Roman" w:hAnsi="Times New Roman"/>
        </w:rPr>
        <w:t>4.3 Besteht Beweisbedarf?</w:t>
      </w:r>
    </w:p>
    <w:p>
      <w:pPr>
        <w:jc w:val="left"/>
      </w:pPr>
      <w:r>
        <w:t>Ein Gutachten zur Festigkeit von Maras Identität und zur Belastung durch die Ablehnung des Vaters wäre ein naheliegendes Beweismittel. Das Gericht kann nach § 163 FamFG einen Sachverständigen bestellen. Der Verfahrensbeistand Maras würde die Position des Kindes unabhängig vertreten.</w:t>
      </w:r>
    </w:p>
    <w:p>
      <w:pPr>
        <w:pStyle w:val="Heading3"/>
      </w:pPr>
      <w:r>
        <w:rPr>
          <w:rFonts w:ascii="Times New Roman" w:hAnsi="Times New Roman"/>
        </w:rPr>
        <w:t>4.4 Auswirkungen auf das Sorgerechtsverhältnis</w:t>
      </w:r>
    </w:p>
    <w:p>
      <w:pPr>
        <w:jc w:val="left"/>
      </w:pPr>
      <w:r>
        <w:t>Franz' Ankündigung, aus dem Sorgerecht zu „klagen", ist unpräzise und rechtlich nicht so einfach umsetzbar. Eine Übertragung des Alleinsorgerechts an Hanna nach § 1671 BGB käme in Betracht, wenn das Gericht zum Schluss käme, dass Franz' Verweigerung und fehlende Kooperation dem Kindeswohl dauerhaft schaden. Das wäre ein separates Verfahren.</w:t>
      </w:r>
    </w:p>
    <w:p/>
    <w:p>
      <w:pPr>
        <w:pStyle w:val="Heading2"/>
      </w:pPr>
      <w:r>
        <w:rPr>
          <w:rFonts w:ascii="Times New Roman" w:hAnsi="Times New Roman"/>
        </w:rPr>
        <w:t>5. Verfahrensstand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Beratungsschein Kompass ausgestellt</w:t>
            </w:r>
          </w:p>
        </w:tc>
        <w:tc>
          <w:tcPr>
            <w:tcW w:type="dxa" w:w="4536"/>
          </w:tcPr>
          <w:p>
            <w:r>
              <w:rPr>
                <w:rFonts w:ascii="Times New Roman" w:hAnsi="Times New Roman"/>
                <w:sz w:val="20"/>
              </w:rPr>
              <w:t>10.07.2025 — vorliegend</w:t>
            </w:r>
          </w:p>
        </w:tc>
      </w:tr>
      <w:tr>
        <w:tc>
          <w:tcPr>
            <w:tcW w:type="dxa" w:w="4536"/>
          </w:tcPr>
          <w:p>
            <w:r>
              <w:rPr>
                <w:rFonts w:ascii="Times New Roman" w:hAnsi="Times New Roman"/>
                <w:sz w:val="20"/>
              </w:rPr>
              <w:t>Erklärung Mara beim Standesamt</w:t>
            </w:r>
          </w:p>
        </w:tc>
        <w:tc>
          <w:tcPr>
            <w:tcW w:type="dxa" w:w="4536"/>
          </w:tcPr>
          <w:p>
            <w:r>
              <w:rPr>
                <w:rFonts w:ascii="Times New Roman" w:hAnsi="Times New Roman"/>
                <w:sz w:val="20"/>
              </w:rPr>
              <w:t>11.07.2025</w:t>
            </w:r>
          </w:p>
        </w:tc>
      </w:tr>
      <w:tr>
        <w:tc>
          <w:tcPr>
            <w:tcW w:type="dxa" w:w="4536"/>
          </w:tcPr>
          <w:p>
            <w:r>
              <w:rPr>
                <w:rFonts w:ascii="Times New Roman" w:hAnsi="Times New Roman"/>
                <w:sz w:val="20"/>
              </w:rPr>
              <w:t>Zustimmung Hanna</w:t>
            </w:r>
          </w:p>
        </w:tc>
        <w:tc>
          <w:tcPr>
            <w:tcW w:type="dxa" w:w="4536"/>
          </w:tcPr>
          <w:p>
            <w:r>
              <w:rPr>
                <w:rFonts w:ascii="Times New Roman" w:hAnsi="Times New Roman"/>
                <w:sz w:val="20"/>
              </w:rPr>
              <w:t>erteilt</w:t>
            </w:r>
          </w:p>
        </w:tc>
      </w:tr>
      <w:tr>
        <w:tc>
          <w:tcPr>
            <w:tcW w:type="dxa" w:w="4536"/>
          </w:tcPr>
          <w:p>
            <w:r>
              <w:rPr>
                <w:rFonts w:ascii="Times New Roman" w:hAnsi="Times New Roman"/>
                <w:sz w:val="20"/>
              </w:rPr>
              <w:t>Zustimmung Franz</w:t>
            </w:r>
          </w:p>
        </w:tc>
        <w:tc>
          <w:tcPr>
            <w:tcW w:type="dxa" w:w="4536"/>
          </w:tcPr>
          <w:p>
            <w:r>
              <w:rPr>
                <w:rFonts w:ascii="Times New Roman" w:hAnsi="Times New Roman"/>
                <w:sz w:val="20"/>
              </w:rPr>
              <w:t>verweigert</w:t>
            </w:r>
          </w:p>
        </w:tc>
      </w:tr>
      <w:tr>
        <w:tc>
          <w:tcPr>
            <w:tcW w:type="dxa" w:w="4536"/>
          </w:tcPr>
          <w:p>
            <w:r>
              <w:rPr>
                <w:rFonts w:ascii="Times New Roman" w:hAnsi="Times New Roman"/>
                <w:sz w:val="20"/>
              </w:rPr>
              <w:t>Wartefrist 3 Monate</w:t>
            </w:r>
          </w:p>
        </w:tc>
        <w:tc>
          <w:tcPr>
            <w:tcW w:type="dxa" w:w="4536"/>
          </w:tcPr>
          <w:p>
            <w:r>
              <w:rPr>
                <w:rFonts w:ascii="Times New Roman" w:hAnsi="Times New Roman"/>
                <w:sz w:val="20"/>
              </w:rPr>
              <w:t>läuft; Ablauf 11.10.2025</w:t>
            </w:r>
          </w:p>
        </w:tc>
      </w:tr>
      <w:tr>
        <w:tc>
          <w:tcPr>
            <w:tcW w:type="dxa" w:w="4536"/>
          </w:tcPr>
          <w:p>
            <w:r>
              <w:rPr>
                <w:rFonts w:ascii="Times New Roman" w:hAnsi="Times New Roman"/>
                <w:sz w:val="20"/>
              </w:rPr>
              <w:t>Antrag auf gerichtliche Ersatzzustimmung</w:t>
            </w:r>
          </w:p>
        </w:tc>
        <w:tc>
          <w:tcPr>
            <w:tcW w:type="dxa" w:w="4536"/>
          </w:tcPr>
          <w:p>
            <w:r>
              <w:rPr>
                <w:rFonts w:ascii="Times New Roman" w:hAnsi="Times New Roman"/>
                <w:sz w:val="20"/>
              </w:rPr>
              <w:t>noch nicht eingereicht; in Prüfung</w:t>
            </w:r>
          </w:p>
        </w:tc>
      </w:tr>
    </w:tbl>
    <w:p/>
    <w:p>
      <w:pPr>
        <w:pStyle w:val="Heading2"/>
      </w:pPr>
      <w:r>
        <w:rPr>
          <w:rFonts w:ascii="Times New Roman" w:hAnsi="Times New Roman"/>
        </w:rPr>
        <w:t>6. Empfehlung</w:t>
      </w:r>
    </w:p>
    <w:p>
      <w:pPr>
        <w:jc w:val="left"/>
      </w:pPr>
      <w:r>
        <w:t>Die Kanzlei empfiehlt:</w:t>
      </w:r>
    </w:p>
    <w:p>
      <w:pPr>
        <w:pStyle w:val="ListNumber"/>
      </w:pPr>
      <w:r>
        <w:t>Sobald die 3-Monats-Frist am 11.10.2025 abläuft und Franz weiterhin nicht zustimmt, Antrag nach § 2 Abs. 6 SBGG beim Familiengericht Hannover einreichen (ggf. als Mara selbst, vertreten durch RAin Helmstedt, oder als Hanna als Sorgeberechtigte).</w:t>
      </w:r>
    </w:p>
    <w:p>
      <w:pPr>
        <w:pStyle w:val="ListNumber"/>
      </w:pPr>
      <w:r>
        <w:t>Verfahrensbeistand für Mara anregen — das Gericht kann diesen auch von Amts wegen bestellen.</w:t>
      </w:r>
    </w:p>
    <w:p>
      <w:pPr>
        <w:pStyle w:val="ListNumber"/>
      </w:pPr>
      <w:r>
        <w:t>Gutachtenseinholung: Fachberatungsstelle Kompass kann als sachkundige Stelle Stellung nehmen; ein gesondertes psychiatrisches Gutachten ist nach dem SBGG nicht mehr erforderlich und wäre nach Hanna und Maras Wunsch abzulehnen.</w:t>
      </w:r>
    </w:p>
    <w:p>
      <w:pPr>
        <w:pStyle w:val="ListNumber"/>
      </w:pPr>
      <w:r>
        <w:t>Franz' Drohung wegen Sorgerecht: beruhigendes Gespräch mit Hanna, juristische Klarstellung: kein automatischer Sorgerechtsverlust.</w:t>
      </w:r>
    </w:p>
    <w:p/>
    <w:p>
      <w:pPr>
        <w:pStyle w:val="Heading2"/>
      </w:pPr>
      <w:r>
        <w:rPr>
          <w:rFonts w:ascii="Times New Roman" w:hAnsi="Times New Roman"/>
        </w:rPr>
        <w:t>7. Hinweis zur Verknüpfung mit dem Scheidungsverfahren</w:t>
      </w:r>
    </w:p>
    <w:p>
      <w:pPr>
        <w:jc w:val="left"/>
      </w:pPr>
      <w:r>
        <w:t>Das SBGG-Verfahren ist rechtlich vom Scheidungsverfahren getrennt. Allerdings wird Franz' Haltung gegenüber Maras Identität Einfluss auf das allgemeine Bild des Elternkonflikts und auf die Kindeswohlprüfung im Umgangsverfahren haben. Ein Gericht, das Franz' fehlende Kooperation (Cochemer-Abbruch, SBGG-Verweigerung, JA-Gespräch-Aufschub) in einer Gesamtschau bewertet, wird darin möglicherweise ein strukturelles Muster erkennen.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