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Zugewinnausgleich — Vermögensaufstellung</w:t>
      </w:r>
    </w:p>
    <w:p>
      <w:pPr>
        <w:jc w:val="left"/>
      </w:pPr>
      <w:r>
        <w:t>Stand: September 2025</w:t>
      </w:r>
    </w:p>
    <w:p>
      <w:pPr>
        <w:jc w:val="left"/>
      </w:pPr>
      <w:r>
        <w:t>Bearbeiterin: RAin Dr. Friederike Pohl-Krauss / RAin Helmstedt</w:t>
      </w:r>
    </w:p>
    <w:p>
      <w:pPr>
        <w:jc w:val="left"/>
      </w:pPr>
      <w:r>
        <w:t>Grundlage: Mandantenangaben, Wirtschaftsgutachten WP Dreschler (August 2025), SV-Gutachten Klausberg (September 2025)</w:t>
      </w:r>
    </w:p>
    <w:p/>
    <w:p>
      <w:pPr>
        <w:pStyle w:val="Heading2"/>
      </w:pPr>
      <w:r>
        <w:rPr>
          <w:rFonts w:ascii="Times New Roman" w:hAnsi="Times New Roman"/>
        </w:rPr>
        <w:t>1. Grundlagen</w:t>
      </w:r>
    </w:p>
    <w:p>
      <w:pPr>
        <w:jc w:val="left"/>
      </w:pPr>
      <w:r>
        <w:t>Der Zugewinnausgleich richtet sich nach §§ 1373 ff. BGB. Zugewinn ist der Betrag, um den das Endvermögen eines Ehegatten sein Anfangsvermögen übersteigt. Ausgleichspflichtig ist derjenige Ehegatte, dessen Zugewinn den des anderen übersteigt; er muss die Hälfte des Überschusses ausgleichen (§ 1378 Abs. 1 BGB).</w:t>
      </w:r>
    </w:p>
    <w:p>
      <w:pPr>
        <w:jc w:val="left"/>
      </w:pPr>
      <w:r>
        <w:rPr>
          <w:b/>
        </w:rPr>
        <w:t>Stichtag Anfangsvermögen:</w:t>
      </w:r>
      <w:r>
        <w:t xml:space="preserve"> 12.08.2008 (Ehedatum), jeweils zum Zeitpunkt der Heirat.</w:t>
      </w:r>
    </w:p>
    <w:p>
      <w:pPr>
        <w:jc w:val="left"/>
      </w:pPr>
      <w:r>
        <w:rPr>
          <w:b/>
        </w:rPr>
        <w:t>Stichtag Endvermögen:</w:t>
      </w:r>
      <w:r>
        <w:t xml:space="preserve"> Datum der Zustellung des Scheidungsantrags (voraussichtlich Januar/Februar 2026). Für Planungszwecke wird hier mit Stichtag 01.02.2026 gerechnet.</w:t>
      </w:r>
    </w:p>
    <w:p/>
    <w:p>
      <w:pPr>
        <w:pStyle w:val="Heading2"/>
      </w:pPr>
      <w:r>
        <w:rPr>
          <w:rFonts w:ascii="Times New Roman" w:hAnsi="Times New Roman"/>
        </w:rPr>
        <w:t>2. Anfangsvermögen (Stand 12.08.2008)</w:t>
      </w:r>
    </w:p>
    <w:p>
      <w:pPr>
        <w:pStyle w:val="Heading3"/>
      </w:pPr>
      <w:r>
        <w:rPr>
          <w:rFonts w:ascii="Times New Roman" w:hAnsi="Times New Roman"/>
        </w:rPr>
        <w:t>2.1 Hanna Trüffelberch</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Position</w:t>
            </w:r>
          </w:p>
        </w:tc>
        <w:tc>
          <w:tcPr>
            <w:tcW w:type="dxa" w:w="3024"/>
          </w:tcPr>
          <w:p>
            <w:r>
              <w:rPr>
                <w:rFonts w:ascii="Times New Roman" w:hAnsi="Times New Roman"/>
                <w:b/>
                <w:sz w:val="20"/>
              </w:rPr>
              <w:t>Wert (EUR)</w:t>
            </w:r>
          </w:p>
        </w:tc>
        <w:tc>
          <w:tcPr>
            <w:tcW w:type="dxa" w:w="3024"/>
          </w:tcPr>
          <w:p>
            <w:r>
              <w:rPr>
                <w:rFonts w:ascii="Times New Roman" w:hAnsi="Times New Roman"/>
                <w:b/>
                <w:sz w:val="20"/>
              </w:rPr>
              <w:t>Bemerkung</w:t>
            </w:r>
          </w:p>
        </w:tc>
      </w:tr>
      <w:tr>
        <w:tc>
          <w:tcPr>
            <w:tcW w:type="dxa" w:w="3024"/>
          </w:tcPr>
          <w:p>
            <w:r>
              <w:rPr>
                <w:rFonts w:ascii="Times New Roman" w:hAnsi="Times New Roman"/>
                <w:sz w:val="20"/>
              </w:rPr>
              <w:t>Sparkonto / Tagesgeld</w:t>
            </w:r>
          </w:p>
        </w:tc>
        <w:tc>
          <w:tcPr>
            <w:tcW w:type="dxa" w:w="3024"/>
          </w:tcPr>
          <w:p>
            <w:r>
              <w:rPr>
                <w:rFonts w:ascii="Times New Roman" w:hAnsi="Times New Roman"/>
                <w:sz w:val="20"/>
              </w:rPr>
              <w:t>8.500</w:t>
            </w:r>
          </w:p>
        </w:tc>
        <w:tc>
          <w:tcPr>
            <w:tcW w:type="dxa" w:w="3024"/>
          </w:tcPr>
          <w:p>
            <w:r>
              <w:rPr>
                <w:rFonts w:ascii="Times New Roman" w:hAnsi="Times New Roman"/>
                <w:sz w:val="20"/>
              </w:rPr>
              <w:t>eigene Angabe Hanna, plausibel für junge Architektin 2008</w:t>
            </w:r>
          </w:p>
        </w:tc>
      </w:tr>
      <w:tr>
        <w:tc>
          <w:tcPr>
            <w:tcW w:type="dxa" w:w="3024"/>
          </w:tcPr>
          <w:p>
            <w:r>
              <w:rPr>
                <w:rFonts w:ascii="Times New Roman" w:hAnsi="Times New Roman"/>
                <w:sz w:val="20"/>
              </w:rPr>
              <w:t>PKW (alt, Bj. 2001)</w:t>
            </w:r>
          </w:p>
        </w:tc>
        <w:tc>
          <w:tcPr>
            <w:tcW w:type="dxa" w:w="3024"/>
          </w:tcPr>
          <w:p>
            <w:r>
              <w:rPr>
                <w:rFonts w:ascii="Times New Roman" w:hAnsi="Times New Roman"/>
                <w:sz w:val="20"/>
              </w:rPr>
              <w:t>0</w:t>
            </w:r>
          </w:p>
        </w:tc>
        <w:tc>
          <w:tcPr>
            <w:tcW w:type="dxa" w:w="3024"/>
          </w:tcPr>
          <w:p>
            <w:r>
              <w:rPr>
                <w:rFonts w:ascii="Times New Roman" w:hAnsi="Times New Roman"/>
                <w:sz w:val="20"/>
              </w:rPr>
              <w:t>Wert seinerzeit unter 1.000 EUR, vereinfachend 0</w:t>
            </w:r>
          </w:p>
        </w:tc>
      </w:tr>
      <w:tr>
        <w:tc>
          <w:tcPr>
            <w:tcW w:type="dxa" w:w="3024"/>
          </w:tcPr>
          <w:p>
            <w:r>
              <w:rPr>
                <w:rFonts w:ascii="Times New Roman" w:hAnsi="Times New Roman"/>
                <w:sz w:val="20"/>
              </w:rPr>
              <w:t>Anteil PartGmbB</w:t>
            </w:r>
          </w:p>
        </w:tc>
        <w:tc>
          <w:tcPr>
            <w:tcW w:type="dxa" w:w="3024"/>
          </w:tcPr>
          <w:p>
            <w:r>
              <w:rPr>
                <w:rFonts w:ascii="Times New Roman" w:hAnsi="Times New Roman"/>
                <w:sz w:val="20"/>
              </w:rPr>
              <w:t>0</w:t>
            </w:r>
          </w:p>
        </w:tc>
        <w:tc>
          <w:tcPr>
            <w:tcW w:type="dxa" w:w="3024"/>
          </w:tcPr>
          <w:p>
            <w:r>
              <w:rPr>
                <w:rFonts w:ascii="Times New Roman" w:hAnsi="Times New Roman"/>
                <w:sz w:val="20"/>
              </w:rPr>
              <w:t>Büro wurde im August 2008 gegründet; noch kein Vermögen</w:t>
            </w:r>
          </w:p>
        </w:tc>
      </w:tr>
      <w:tr>
        <w:tc>
          <w:tcPr>
            <w:tcW w:type="dxa" w:w="3024"/>
          </w:tcPr>
          <w:p>
            <w:r>
              <w:rPr>
                <w:rFonts w:ascii="Times New Roman" w:hAnsi="Times New Roman"/>
                <w:sz w:val="20"/>
              </w:rPr>
              <w:t>Verbindlichkeiten</w:t>
            </w:r>
          </w:p>
        </w:tc>
        <w:tc>
          <w:tcPr>
            <w:tcW w:type="dxa" w:w="3024"/>
          </w:tcPr>
          <w:p>
            <w:r>
              <w:rPr>
                <w:rFonts w:ascii="Times New Roman" w:hAnsi="Times New Roman"/>
                <w:sz w:val="20"/>
              </w:rPr>
              <w:t>0</w:t>
            </w:r>
          </w:p>
        </w:tc>
        <w:tc>
          <w:tcPr>
            <w:tcW w:type="dxa" w:w="3024"/>
          </w:tcPr>
          <w:p>
            <w:r>
              <w:rPr>
                <w:rFonts w:ascii="Times New Roman" w:hAnsi="Times New Roman"/>
                <w:sz w:val="20"/>
              </w:rPr>
              <w:t>keine Darlehen zu dieser Zeit</w:t>
            </w:r>
          </w:p>
        </w:tc>
      </w:tr>
      <w:tr>
        <w:tc>
          <w:tcPr>
            <w:tcW w:type="dxa" w:w="3024"/>
          </w:tcPr>
          <w:p>
            <w:r>
              <w:rPr>
                <w:rFonts w:ascii="Times New Roman" w:hAnsi="Times New Roman"/>
                <w:b/>
                <w:sz w:val="20"/>
              </w:rPr>
              <w:t>Gesamt Anfangsvermögen Hanna</w:t>
            </w:r>
          </w:p>
        </w:tc>
        <w:tc>
          <w:tcPr>
            <w:tcW w:type="dxa" w:w="3024"/>
          </w:tcPr>
          <w:p>
            <w:r>
              <w:rPr>
                <w:rFonts w:ascii="Times New Roman" w:hAnsi="Times New Roman"/>
                <w:b/>
                <w:sz w:val="20"/>
              </w:rPr>
              <w:t>8.500</w:t>
            </w:r>
          </w:p>
        </w:tc>
        <w:tc>
          <w:tcPr>
            <w:tcW w:type="dxa" w:w="3024"/>
          </w:tcPr>
          <w:p/>
        </w:tc>
      </w:tr>
    </w:tbl>
    <w:p>
      <w:pPr>
        <w:pStyle w:val="Heading3"/>
      </w:pPr>
      <w:r>
        <w:rPr>
          <w:rFonts w:ascii="Times New Roman" w:hAnsi="Times New Roman"/>
        </w:rPr>
        <w:t>2.2 Franz Trüffelberch</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Position</w:t>
            </w:r>
          </w:p>
        </w:tc>
        <w:tc>
          <w:tcPr>
            <w:tcW w:type="dxa" w:w="3024"/>
          </w:tcPr>
          <w:p>
            <w:r>
              <w:rPr>
                <w:rFonts w:ascii="Times New Roman" w:hAnsi="Times New Roman"/>
                <w:b/>
                <w:sz w:val="20"/>
              </w:rPr>
              <w:t>Wert (EUR)</w:t>
            </w:r>
          </w:p>
        </w:tc>
        <w:tc>
          <w:tcPr>
            <w:tcW w:type="dxa" w:w="3024"/>
          </w:tcPr>
          <w:p>
            <w:r>
              <w:rPr>
                <w:rFonts w:ascii="Times New Roman" w:hAnsi="Times New Roman"/>
                <w:b/>
                <w:sz w:val="20"/>
              </w:rPr>
              <w:t>Bemerkung</w:t>
            </w:r>
          </w:p>
        </w:tc>
      </w:tr>
      <w:tr>
        <w:tc>
          <w:tcPr>
            <w:tcW w:type="dxa" w:w="3024"/>
          </w:tcPr>
          <w:p>
            <w:r>
              <w:rPr>
                <w:rFonts w:ascii="Times New Roman" w:hAnsi="Times New Roman"/>
                <w:sz w:val="20"/>
              </w:rPr>
              <w:t>Girokonto</w:t>
            </w:r>
          </w:p>
        </w:tc>
        <w:tc>
          <w:tcPr>
            <w:tcW w:type="dxa" w:w="3024"/>
          </w:tcPr>
          <w:p>
            <w:r>
              <w:rPr>
                <w:rFonts w:ascii="Times New Roman" w:hAnsi="Times New Roman"/>
                <w:sz w:val="20"/>
              </w:rPr>
              <w:t>3.200</w:t>
            </w:r>
          </w:p>
        </w:tc>
        <w:tc>
          <w:tcPr>
            <w:tcW w:type="dxa" w:w="3024"/>
          </w:tcPr>
          <w:p>
            <w:r>
              <w:rPr>
                <w:rFonts w:ascii="Times New Roman" w:hAnsi="Times New Roman"/>
                <w:sz w:val="20"/>
              </w:rPr>
              <w:t>eigene Angabe (über Hanna), plausibel</w:t>
            </w:r>
          </w:p>
        </w:tc>
      </w:tr>
      <w:tr>
        <w:tc>
          <w:tcPr>
            <w:tcW w:type="dxa" w:w="3024"/>
          </w:tcPr>
          <w:p>
            <w:r>
              <w:rPr>
                <w:rFonts w:ascii="Times New Roman" w:hAnsi="Times New Roman"/>
                <w:sz w:val="20"/>
              </w:rPr>
              <w:t>Berufsausstattung</w:t>
            </w:r>
          </w:p>
        </w:tc>
        <w:tc>
          <w:tcPr>
            <w:tcW w:type="dxa" w:w="3024"/>
          </w:tcPr>
          <w:p>
            <w:r>
              <w:rPr>
                <w:rFonts w:ascii="Times New Roman" w:hAnsi="Times New Roman"/>
                <w:sz w:val="20"/>
              </w:rPr>
              <w:t>0</w:t>
            </w:r>
          </w:p>
        </w:tc>
        <w:tc>
          <w:tcPr>
            <w:tcW w:type="dxa" w:w="3024"/>
          </w:tcPr>
          <w:p>
            <w:r>
              <w:rPr>
                <w:rFonts w:ascii="Times New Roman" w:hAnsi="Times New Roman"/>
                <w:sz w:val="20"/>
              </w:rPr>
              <w:t>Werkzeug im Eigentum des damaligen Arbeitgebers</w:t>
            </w:r>
          </w:p>
        </w:tc>
      </w:tr>
      <w:tr>
        <w:tc>
          <w:tcPr>
            <w:tcW w:type="dxa" w:w="3024"/>
          </w:tcPr>
          <w:p>
            <w:r>
              <w:rPr>
                <w:rFonts w:ascii="Times New Roman" w:hAnsi="Times New Roman"/>
                <w:sz w:val="20"/>
              </w:rPr>
              <w:t>PKW</w:t>
            </w:r>
          </w:p>
        </w:tc>
        <w:tc>
          <w:tcPr>
            <w:tcW w:type="dxa" w:w="3024"/>
          </w:tcPr>
          <w:p>
            <w:r>
              <w:rPr>
                <w:rFonts w:ascii="Times New Roman" w:hAnsi="Times New Roman"/>
                <w:sz w:val="20"/>
              </w:rPr>
              <w:t>0</w:t>
            </w:r>
          </w:p>
        </w:tc>
        <w:tc>
          <w:tcPr>
            <w:tcW w:type="dxa" w:w="3024"/>
          </w:tcPr>
          <w:p>
            <w:r>
              <w:rPr>
                <w:rFonts w:ascii="Times New Roman" w:hAnsi="Times New Roman"/>
                <w:sz w:val="20"/>
              </w:rPr>
              <w:t>Werkswagen</w:t>
            </w:r>
          </w:p>
        </w:tc>
      </w:tr>
      <w:tr>
        <w:tc>
          <w:tcPr>
            <w:tcW w:type="dxa" w:w="3024"/>
          </w:tcPr>
          <w:p>
            <w:r>
              <w:rPr>
                <w:rFonts w:ascii="Times New Roman" w:hAnsi="Times New Roman"/>
                <w:sz w:val="20"/>
              </w:rPr>
              <w:t>Verbindlichkeiten</w:t>
            </w:r>
          </w:p>
        </w:tc>
        <w:tc>
          <w:tcPr>
            <w:tcW w:type="dxa" w:w="3024"/>
          </w:tcPr>
          <w:p>
            <w:r>
              <w:rPr>
                <w:rFonts w:ascii="Times New Roman" w:hAnsi="Times New Roman"/>
                <w:sz w:val="20"/>
              </w:rPr>
              <w:t>- 4.800</w:t>
            </w:r>
          </w:p>
        </w:tc>
        <w:tc>
          <w:tcPr>
            <w:tcW w:type="dxa" w:w="3024"/>
          </w:tcPr>
          <w:p>
            <w:r>
              <w:rPr>
                <w:rFonts w:ascii="Times New Roman" w:hAnsi="Times New Roman"/>
                <w:sz w:val="20"/>
              </w:rPr>
              <w:t>Restdarlehen Studienkredit/Meisterschule</w:t>
            </w:r>
          </w:p>
        </w:tc>
      </w:tr>
      <w:tr>
        <w:tc>
          <w:tcPr>
            <w:tcW w:type="dxa" w:w="3024"/>
          </w:tcPr>
          <w:p>
            <w:r>
              <w:rPr>
                <w:rFonts w:ascii="Times New Roman" w:hAnsi="Times New Roman"/>
                <w:b/>
                <w:sz w:val="20"/>
              </w:rPr>
              <w:t>Gesamt Anfangsvermögen Franz</w:t>
            </w:r>
          </w:p>
        </w:tc>
        <w:tc>
          <w:tcPr>
            <w:tcW w:type="dxa" w:w="3024"/>
          </w:tcPr>
          <w:p>
            <w:r>
              <w:rPr>
                <w:rFonts w:ascii="Times New Roman" w:hAnsi="Times New Roman"/>
                <w:b/>
                <w:sz w:val="20"/>
              </w:rPr>
              <w:t>-1.600</w:t>
            </w:r>
          </w:p>
        </w:tc>
        <w:tc>
          <w:tcPr>
            <w:tcW w:type="dxa" w:w="3024"/>
          </w:tcPr>
          <w:p>
            <w:r>
              <w:rPr>
                <w:rFonts w:ascii="Times New Roman" w:hAnsi="Times New Roman"/>
                <w:sz w:val="20"/>
              </w:rPr>
              <w:t>negatives Anfangsvermögen → behandelt als 0 (§ 1374 Abs. 3 BGB analog)</w:t>
            </w:r>
          </w:p>
        </w:tc>
      </w:tr>
    </w:tbl>
    <w:p>
      <w:pPr>
        <w:jc w:val="left"/>
      </w:pPr>
      <w:r>
        <w:t>Hinweis: Ein negatives Anfangsvermögen erhöht den Zugewinn Franz' nicht (Schutzregelung § 1374 Abs. 3 BGB analog → wird in der Berechnung als 0 EUR behandelt).</w:t>
      </w:r>
    </w:p>
    <w:p/>
    <w:p>
      <w:pPr>
        <w:pStyle w:val="Heading2"/>
      </w:pPr>
      <w:r>
        <w:rPr>
          <w:rFonts w:ascii="Times New Roman" w:hAnsi="Times New Roman"/>
        </w:rPr>
        <w:t>3. Endvermögen (voraussichtlicher Stichtag ca. 01.02.2026)</w:t>
      </w:r>
    </w:p>
    <w:p>
      <w:pPr>
        <w:pStyle w:val="Heading3"/>
      </w:pPr>
      <w:r>
        <w:rPr>
          <w:rFonts w:ascii="Times New Roman" w:hAnsi="Times New Roman"/>
        </w:rPr>
        <w:t>3.1 Hanna Trüffelberch</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Position</w:t>
            </w:r>
          </w:p>
        </w:tc>
        <w:tc>
          <w:tcPr>
            <w:tcW w:type="dxa" w:w="3024"/>
          </w:tcPr>
          <w:p>
            <w:r>
              <w:rPr>
                <w:rFonts w:ascii="Times New Roman" w:hAnsi="Times New Roman"/>
                <w:b/>
                <w:sz w:val="20"/>
              </w:rPr>
              <w:t>Wert (EUR)</w:t>
            </w:r>
          </w:p>
        </w:tc>
        <w:tc>
          <w:tcPr>
            <w:tcW w:type="dxa" w:w="3024"/>
          </w:tcPr>
          <w:p>
            <w:r>
              <w:rPr>
                <w:rFonts w:ascii="Times New Roman" w:hAnsi="Times New Roman"/>
                <w:b/>
                <w:sz w:val="20"/>
              </w:rPr>
              <w:t>Quelle</w:t>
            </w:r>
          </w:p>
        </w:tc>
      </w:tr>
      <w:tr>
        <w:tc>
          <w:tcPr>
            <w:tcW w:type="dxa" w:w="3024"/>
          </w:tcPr>
          <w:p>
            <w:r>
              <w:rPr>
                <w:rFonts w:ascii="Times New Roman" w:hAnsi="Times New Roman"/>
                <w:sz w:val="20"/>
              </w:rPr>
              <w:t>Anteil PartGmbB (50 %)</w:t>
            </w:r>
          </w:p>
        </w:tc>
        <w:tc>
          <w:tcPr>
            <w:tcW w:type="dxa" w:w="3024"/>
          </w:tcPr>
          <w:p>
            <w:r>
              <w:rPr>
                <w:rFonts w:ascii="Times New Roman" w:hAnsi="Times New Roman"/>
                <w:sz w:val="20"/>
              </w:rPr>
              <w:t>710.000</w:t>
            </w:r>
          </w:p>
        </w:tc>
        <w:tc>
          <w:tcPr>
            <w:tcW w:type="dxa" w:w="3024"/>
          </w:tcPr>
          <w:p>
            <w:r>
              <w:rPr>
                <w:rFonts w:ascii="Times New Roman" w:hAnsi="Times New Roman"/>
                <w:sz w:val="20"/>
              </w:rPr>
              <w:t>WP Dreschler, Aug. 2025; Gesamtwert 1.420.000 EUR</w:t>
            </w:r>
          </w:p>
        </w:tc>
      </w:tr>
      <w:tr>
        <w:tc>
          <w:tcPr>
            <w:tcW w:type="dxa" w:w="3024"/>
          </w:tcPr>
          <w:p>
            <w:r>
              <w:rPr>
                <w:rFonts w:ascii="Times New Roman" w:hAnsi="Times New Roman"/>
                <w:sz w:val="20"/>
              </w:rPr>
              <w:t>Anteil Immobilie Lindener Hofstr. 47 (50 %)</w:t>
            </w:r>
          </w:p>
        </w:tc>
        <w:tc>
          <w:tcPr>
            <w:tcW w:type="dxa" w:w="3024"/>
          </w:tcPr>
          <w:p>
            <w:r>
              <w:rPr>
                <w:rFonts w:ascii="Times New Roman" w:hAnsi="Times New Roman"/>
                <w:sz w:val="20"/>
              </w:rPr>
              <w:t>460.000</w:t>
            </w:r>
          </w:p>
        </w:tc>
        <w:tc>
          <w:tcPr>
            <w:tcW w:type="dxa" w:w="3024"/>
          </w:tcPr>
          <w:p>
            <w:r>
              <w:rPr>
                <w:rFonts w:ascii="Times New Roman" w:hAnsi="Times New Roman"/>
                <w:sz w:val="20"/>
              </w:rPr>
              <w:t>SV Klausberg, Sept. 2025; Gesamtwert 920.000 EUR</w:t>
            </w:r>
          </w:p>
        </w:tc>
      </w:tr>
      <w:tr>
        <w:tc>
          <w:tcPr>
            <w:tcW w:type="dxa" w:w="3024"/>
          </w:tcPr>
          <w:p>
            <w:r>
              <w:rPr>
                <w:rFonts w:ascii="Times New Roman" w:hAnsi="Times New Roman"/>
                <w:sz w:val="20"/>
              </w:rPr>
              <w:t>Anteil Restdarlehen Immobilie (50 %)</w:t>
            </w:r>
          </w:p>
        </w:tc>
        <w:tc>
          <w:tcPr>
            <w:tcW w:type="dxa" w:w="3024"/>
          </w:tcPr>
          <w:p>
            <w:r>
              <w:rPr>
                <w:rFonts w:ascii="Times New Roman" w:hAnsi="Times New Roman"/>
                <w:sz w:val="20"/>
              </w:rPr>
              <w:t>- 140.000</w:t>
            </w:r>
          </w:p>
        </w:tc>
        <w:tc>
          <w:tcPr>
            <w:tcW w:type="dxa" w:w="3024"/>
          </w:tcPr>
          <w:p>
            <w:r>
              <w:rPr>
                <w:rFonts w:ascii="Times New Roman" w:hAnsi="Times New Roman"/>
                <w:sz w:val="20"/>
              </w:rPr>
              <w:t>Volksbank; Restschuld lt. Auszug 14.09.2025: 281.340 EUR, in dieser Aufstellung auf 280.000 EUR gerundet</w:t>
            </w:r>
          </w:p>
        </w:tc>
      </w:tr>
      <w:tr>
        <w:tc>
          <w:tcPr>
            <w:tcW w:type="dxa" w:w="3024"/>
          </w:tcPr>
          <w:p>
            <w:r>
              <w:rPr>
                <w:rFonts w:ascii="Times New Roman" w:hAnsi="Times New Roman"/>
                <w:sz w:val="20"/>
              </w:rPr>
              <w:t>Girokonto (privat)</w:t>
            </w:r>
          </w:p>
        </w:tc>
        <w:tc>
          <w:tcPr>
            <w:tcW w:type="dxa" w:w="3024"/>
          </w:tcPr>
          <w:p>
            <w:r>
              <w:rPr>
                <w:rFonts w:ascii="Times New Roman" w:hAnsi="Times New Roman"/>
                <w:sz w:val="20"/>
              </w:rPr>
              <w:t>38.500</w:t>
            </w:r>
          </w:p>
        </w:tc>
        <w:tc>
          <w:tcPr>
            <w:tcW w:type="dxa" w:w="3024"/>
          </w:tcPr>
          <w:p>
            <w:r>
              <w:rPr>
                <w:rFonts w:ascii="Times New Roman" w:hAnsi="Times New Roman"/>
                <w:sz w:val="20"/>
              </w:rPr>
              <w:t>Kontoauszug Aug. 2025</w:t>
            </w:r>
          </w:p>
        </w:tc>
      </w:tr>
      <w:tr>
        <w:tc>
          <w:tcPr>
            <w:tcW w:type="dxa" w:w="3024"/>
          </w:tcPr>
          <w:p>
            <w:r>
              <w:rPr>
                <w:rFonts w:ascii="Times New Roman" w:hAnsi="Times New Roman"/>
                <w:sz w:val="20"/>
              </w:rPr>
              <w:t>Depot (Fonds)</w:t>
            </w:r>
          </w:p>
        </w:tc>
        <w:tc>
          <w:tcPr>
            <w:tcW w:type="dxa" w:w="3024"/>
          </w:tcPr>
          <w:p>
            <w:r>
              <w:rPr>
                <w:rFonts w:ascii="Times New Roman" w:hAnsi="Times New Roman"/>
                <w:sz w:val="20"/>
              </w:rPr>
              <w:t>47.200</w:t>
            </w:r>
          </w:p>
        </w:tc>
        <w:tc>
          <w:tcPr>
            <w:tcW w:type="dxa" w:w="3024"/>
          </w:tcPr>
          <w:p>
            <w:r>
              <w:rPr>
                <w:rFonts w:ascii="Times New Roman" w:hAnsi="Times New Roman"/>
                <w:sz w:val="20"/>
              </w:rPr>
              <w:t>Depotauszug Aug. 2025</w:t>
            </w:r>
          </w:p>
        </w:tc>
      </w:tr>
      <w:tr>
        <w:tc>
          <w:tcPr>
            <w:tcW w:type="dxa" w:w="3024"/>
          </w:tcPr>
          <w:p>
            <w:r>
              <w:rPr>
                <w:rFonts w:ascii="Times New Roman" w:hAnsi="Times New Roman"/>
                <w:sz w:val="20"/>
              </w:rPr>
              <w:t>Bausparvertrag</w:t>
            </w:r>
          </w:p>
        </w:tc>
        <w:tc>
          <w:tcPr>
            <w:tcW w:type="dxa" w:w="3024"/>
          </w:tcPr>
          <w:p>
            <w:r>
              <w:rPr>
                <w:rFonts w:ascii="Times New Roman" w:hAnsi="Times New Roman"/>
                <w:sz w:val="20"/>
              </w:rPr>
              <w:t>14.400</w:t>
            </w:r>
          </w:p>
        </w:tc>
        <w:tc>
          <w:tcPr>
            <w:tcW w:type="dxa" w:w="3024"/>
          </w:tcPr>
          <w:p>
            <w:r>
              <w:rPr>
                <w:rFonts w:ascii="Times New Roman" w:hAnsi="Times New Roman"/>
                <w:sz w:val="20"/>
              </w:rPr>
              <w:t>BSV Wüstenrot, Auszug Aug. 2025</w:t>
            </w:r>
          </w:p>
        </w:tc>
      </w:tr>
      <w:tr>
        <w:tc>
          <w:tcPr>
            <w:tcW w:type="dxa" w:w="3024"/>
          </w:tcPr>
          <w:p>
            <w:r>
              <w:rPr>
                <w:rFonts w:ascii="Times New Roman" w:hAnsi="Times New Roman"/>
                <w:sz w:val="20"/>
              </w:rPr>
              <w:t>BAV-Versorgungswerk</w:t>
            </w:r>
          </w:p>
        </w:tc>
        <w:tc>
          <w:tcPr>
            <w:tcW w:type="dxa" w:w="3024"/>
          </w:tcPr>
          <w:p>
            <w:r>
              <w:rPr>
                <w:rFonts w:ascii="Times New Roman" w:hAnsi="Times New Roman"/>
                <w:sz w:val="20"/>
              </w:rPr>
              <w:t>—</w:t>
            </w:r>
          </w:p>
        </w:tc>
        <w:tc>
          <w:tcPr>
            <w:tcW w:type="dxa" w:w="3024"/>
          </w:tcPr>
          <w:p>
            <w:r>
              <w:rPr>
                <w:rFonts w:ascii="Times New Roman" w:hAnsi="Times New Roman"/>
                <w:sz w:val="20"/>
              </w:rPr>
              <w:t>gesondert Versorgungsausgleich</w:t>
            </w:r>
          </w:p>
        </w:tc>
      </w:tr>
      <w:tr>
        <w:tc>
          <w:tcPr>
            <w:tcW w:type="dxa" w:w="3024"/>
          </w:tcPr>
          <w:p>
            <w:r>
              <w:rPr>
                <w:rFonts w:ascii="Times New Roman" w:hAnsi="Times New Roman"/>
                <w:sz w:val="20"/>
              </w:rPr>
              <w:t>PKW (Audi A4)</w:t>
            </w:r>
          </w:p>
        </w:tc>
        <w:tc>
          <w:tcPr>
            <w:tcW w:type="dxa" w:w="3024"/>
          </w:tcPr>
          <w:p>
            <w:r>
              <w:rPr>
                <w:rFonts w:ascii="Times New Roman" w:hAnsi="Times New Roman"/>
                <w:sz w:val="20"/>
              </w:rPr>
              <w:t>18.000</w:t>
            </w:r>
          </w:p>
        </w:tc>
        <w:tc>
          <w:tcPr>
            <w:tcW w:type="dxa" w:w="3024"/>
          </w:tcPr>
          <w:p>
            <w:r>
              <w:rPr>
                <w:rFonts w:ascii="Times New Roman" w:hAnsi="Times New Roman"/>
                <w:sz w:val="20"/>
              </w:rPr>
              <w:t>Schätzung Schwacke</w:t>
            </w:r>
          </w:p>
        </w:tc>
      </w:tr>
      <w:tr>
        <w:tc>
          <w:tcPr>
            <w:tcW w:type="dxa" w:w="3024"/>
          </w:tcPr>
          <w:p>
            <w:r>
              <w:rPr>
                <w:rFonts w:ascii="Times New Roman" w:hAnsi="Times New Roman"/>
                <w:sz w:val="20"/>
              </w:rPr>
              <w:t>Verbindlichkeiten privat</w:t>
            </w:r>
          </w:p>
        </w:tc>
        <w:tc>
          <w:tcPr>
            <w:tcW w:type="dxa" w:w="3024"/>
          </w:tcPr>
          <w:p>
            <w:r>
              <w:rPr>
                <w:rFonts w:ascii="Times New Roman" w:hAnsi="Times New Roman"/>
                <w:sz w:val="20"/>
              </w:rPr>
              <w:t>- 2.400</w:t>
            </w:r>
          </w:p>
        </w:tc>
        <w:tc>
          <w:tcPr>
            <w:tcW w:type="dxa" w:w="3024"/>
          </w:tcPr>
          <w:p>
            <w:r>
              <w:rPr>
                <w:rFonts w:ascii="Times New Roman" w:hAnsi="Times New Roman"/>
                <w:sz w:val="20"/>
              </w:rPr>
              <w:t>Kreditkarte</w:t>
            </w:r>
          </w:p>
        </w:tc>
      </w:tr>
      <w:tr>
        <w:tc>
          <w:tcPr>
            <w:tcW w:type="dxa" w:w="3024"/>
          </w:tcPr>
          <w:p>
            <w:r>
              <w:rPr>
                <w:rFonts w:ascii="Times New Roman" w:hAnsi="Times New Roman"/>
                <w:b/>
                <w:sz w:val="20"/>
              </w:rPr>
              <w:t>Gesamt Endvermögen Hanna</w:t>
            </w:r>
          </w:p>
        </w:tc>
        <w:tc>
          <w:tcPr>
            <w:tcW w:type="dxa" w:w="3024"/>
          </w:tcPr>
          <w:p>
            <w:r>
              <w:rPr>
                <w:rFonts w:ascii="Times New Roman" w:hAnsi="Times New Roman"/>
                <w:b/>
                <w:sz w:val="20"/>
              </w:rPr>
              <w:t>1.145.700</w:t>
            </w:r>
          </w:p>
        </w:tc>
        <w:tc>
          <w:tcPr>
            <w:tcW w:type="dxa" w:w="3024"/>
          </w:tcPr>
          <w:p/>
        </w:tc>
      </w:tr>
    </w:tbl>
    <w:p>
      <w:pPr>
        <w:jc w:val="left"/>
      </w:pPr>
      <w:r>
        <w:rPr>
          <w:b/>
        </w:rPr>
        <w:t>Zugewinn Hanna:</w:t>
      </w:r>
      <w:r>
        <w:t xml:space="preserve"> 1.145.700 EUR − 8.500 EUR = </w:t>
      </w:r>
      <w:r>
        <w:rPr>
          <w:b/>
        </w:rPr>
        <w:t>1.137.200 EUR</w:t>
      </w:r>
    </w:p>
    <w:p>
      <w:pPr>
        <w:pStyle w:val="Heading3"/>
      </w:pPr>
      <w:r>
        <w:rPr>
          <w:rFonts w:ascii="Times New Roman" w:hAnsi="Times New Roman"/>
        </w:rPr>
        <w:t>3.2 Franz Trüffelberch</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Position</w:t>
            </w:r>
          </w:p>
        </w:tc>
        <w:tc>
          <w:tcPr>
            <w:tcW w:type="dxa" w:w="3024"/>
          </w:tcPr>
          <w:p>
            <w:r>
              <w:rPr>
                <w:rFonts w:ascii="Times New Roman" w:hAnsi="Times New Roman"/>
                <w:b/>
                <w:sz w:val="20"/>
              </w:rPr>
              <w:t>Wert (EUR)</w:t>
            </w:r>
          </w:p>
        </w:tc>
        <w:tc>
          <w:tcPr>
            <w:tcW w:type="dxa" w:w="3024"/>
          </w:tcPr>
          <w:p>
            <w:r>
              <w:rPr>
                <w:rFonts w:ascii="Times New Roman" w:hAnsi="Times New Roman"/>
                <w:b/>
                <w:sz w:val="20"/>
              </w:rPr>
              <w:t>Quelle / Bemerkung</w:t>
            </w:r>
          </w:p>
        </w:tc>
      </w:tr>
      <w:tr>
        <w:tc>
          <w:tcPr>
            <w:tcW w:type="dxa" w:w="3024"/>
          </w:tcPr>
          <w:p>
            <w:r>
              <w:rPr>
                <w:rFonts w:ascii="Times New Roman" w:hAnsi="Times New Roman"/>
                <w:sz w:val="20"/>
              </w:rPr>
              <w:t>Holzwerkstätten e.K. (Unternehmenswert)</w:t>
            </w:r>
          </w:p>
        </w:tc>
        <w:tc>
          <w:tcPr>
            <w:tcW w:type="dxa" w:w="3024"/>
          </w:tcPr>
          <w:p>
            <w:r>
              <w:rPr>
                <w:rFonts w:ascii="Times New Roman" w:hAnsi="Times New Roman"/>
                <w:sz w:val="20"/>
              </w:rPr>
              <w:t>410.000</w:t>
            </w:r>
          </w:p>
        </w:tc>
        <w:tc>
          <w:tcPr>
            <w:tcW w:type="dxa" w:w="3024"/>
          </w:tcPr>
          <w:p>
            <w:r>
              <w:rPr>
                <w:rFonts w:ascii="Times New Roman" w:hAnsi="Times New Roman"/>
                <w:sz w:val="20"/>
              </w:rPr>
              <w:t>Schätzung WP Dreschler nach vorläufiger Prüfung; Franz hat Jahresabschlüsse noch nicht vollständig offengelegt</w:t>
            </w:r>
          </w:p>
        </w:tc>
      </w:tr>
      <w:tr>
        <w:tc>
          <w:tcPr>
            <w:tcW w:type="dxa" w:w="3024"/>
          </w:tcPr>
          <w:p>
            <w:r>
              <w:rPr>
                <w:rFonts w:ascii="Times New Roman" w:hAnsi="Times New Roman"/>
                <w:sz w:val="20"/>
              </w:rPr>
              <w:t>Anteil Immobilie Lindener Hofstr. 47 (50 %)</w:t>
            </w:r>
          </w:p>
        </w:tc>
        <w:tc>
          <w:tcPr>
            <w:tcW w:type="dxa" w:w="3024"/>
          </w:tcPr>
          <w:p>
            <w:r>
              <w:rPr>
                <w:rFonts w:ascii="Times New Roman" w:hAnsi="Times New Roman"/>
                <w:sz w:val="20"/>
              </w:rPr>
              <w:t>460.000</w:t>
            </w:r>
          </w:p>
        </w:tc>
        <w:tc>
          <w:tcPr>
            <w:tcW w:type="dxa" w:w="3024"/>
          </w:tcPr>
          <w:p>
            <w:r>
              <w:rPr>
                <w:rFonts w:ascii="Times New Roman" w:hAnsi="Times New Roman"/>
                <w:sz w:val="20"/>
              </w:rPr>
              <w:t>SV Klausberg</w:t>
            </w:r>
          </w:p>
        </w:tc>
      </w:tr>
      <w:tr>
        <w:tc>
          <w:tcPr>
            <w:tcW w:type="dxa" w:w="3024"/>
          </w:tcPr>
          <w:p>
            <w:r>
              <w:rPr>
                <w:rFonts w:ascii="Times New Roman" w:hAnsi="Times New Roman"/>
                <w:sz w:val="20"/>
              </w:rPr>
              <w:t>Anteil Restdarlehen Immobilie (50 %)</w:t>
            </w:r>
          </w:p>
        </w:tc>
        <w:tc>
          <w:tcPr>
            <w:tcW w:type="dxa" w:w="3024"/>
          </w:tcPr>
          <w:p>
            <w:r>
              <w:rPr>
                <w:rFonts w:ascii="Times New Roman" w:hAnsi="Times New Roman"/>
                <w:sz w:val="20"/>
              </w:rPr>
              <w:t>- 140.000</w:t>
            </w:r>
          </w:p>
        </w:tc>
        <w:tc>
          <w:tcPr>
            <w:tcW w:type="dxa" w:w="3024"/>
          </w:tcPr>
          <w:p>
            <w:r>
              <w:rPr>
                <w:rFonts w:ascii="Times New Roman" w:hAnsi="Times New Roman"/>
                <w:sz w:val="20"/>
              </w:rPr>
              <w:t>Volksbank</w:t>
            </w:r>
          </w:p>
        </w:tc>
      </w:tr>
      <w:tr>
        <w:tc>
          <w:tcPr>
            <w:tcW w:type="dxa" w:w="3024"/>
          </w:tcPr>
          <w:p>
            <w:r>
              <w:rPr>
                <w:rFonts w:ascii="Times New Roman" w:hAnsi="Times New Roman"/>
                <w:sz w:val="20"/>
              </w:rPr>
              <w:t>Girokonto (privat)</w:t>
            </w:r>
          </w:p>
        </w:tc>
        <w:tc>
          <w:tcPr>
            <w:tcW w:type="dxa" w:w="3024"/>
          </w:tcPr>
          <w:p>
            <w:r>
              <w:rPr>
                <w:rFonts w:ascii="Times New Roman" w:hAnsi="Times New Roman"/>
                <w:sz w:val="20"/>
              </w:rPr>
              <w:t>12.800</w:t>
            </w:r>
          </w:p>
        </w:tc>
        <w:tc>
          <w:tcPr>
            <w:tcW w:type="dxa" w:w="3024"/>
          </w:tcPr>
          <w:p>
            <w:r>
              <w:rPr>
                <w:rFonts w:ascii="Times New Roman" w:hAnsi="Times New Roman"/>
                <w:sz w:val="20"/>
              </w:rPr>
              <w:t>Angabe über RAin Ganzhorn, unvollständig</w:t>
            </w:r>
          </w:p>
        </w:tc>
      </w:tr>
      <w:tr>
        <w:tc>
          <w:tcPr>
            <w:tcW w:type="dxa" w:w="3024"/>
          </w:tcPr>
          <w:p>
            <w:r>
              <w:rPr>
                <w:rFonts w:ascii="Times New Roman" w:hAnsi="Times New Roman"/>
                <w:sz w:val="20"/>
              </w:rPr>
              <w:t>Geschäftskonto</w:t>
            </w:r>
          </w:p>
        </w:tc>
        <w:tc>
          <w:tcPr>
            <w:tcW w:type="dxa" w:w="3024"/>
          </w:tcPr>
          <w:p>
            <w:r>
              <w:rPr>
                <w:rFonts w:ascii="Times New Roman" w:hAnsi="Times New Roman"/>
                <w:sz w:val="20"/>
              </w:rPr>
              <w:t>—</w:t>
            </w:r>
          </w:p>
        </w:tc>
        <w:tc>
          <w:tcPr>
            <w:tcW w:type="dxa" w:w="3024"/>
          </w:tcPr>
          <w:p>
            <w:r>
              <w:rPr>
                <w:rFonts w:ascii="Times New Roman" w:hAnsi="Times New Roman"/>
                <w:sz w:val="20"/>
              </w:rPr>
              <w:t>noch nicht offengelegt</w:t>
            </w:r>
          </w:p>
        </w:tc>
      </w:tr>
      <w:tr>
        <w:tc>
          <w:tcPr>
            <w:tcW w:type="dxa" w:w="3024"/>
          </w:tcPr>
          <w:p>
            <w:r>
              <w:rPr>
                <w:rFonts w:ascii="Times New Roman" w:hAnsi="Times New Roman"/>
                <w:sz w:val="20"/>
              </w:rPr>
              <w:t>PKW (VW Transporter, Betrieb)</w:t>
            </w:r>
          </w:p>
        </w:tc>
        <w:tc>
          <w:tcPr>
            <w:tcW w:type="dxa" w:w="3024"/>
          </w:tcPr>
          <w:p>
            <w:r>
              <w:rPr>
                <w:rFonts w:ascii="Times New Roman" w:hAnsi="Times New Roman"/>
                <w:sz w:val="20"/>
              </w:rPr>
              <w:t>28.000</w:t>
            </w:r>
          </w:p>
        </w:tc>
        <w:tc>
          <w:tcPr>
            <w:tcW w:type="dxa" w:w="3024"/>
          </w:tcPr>
          <w:p>
            <w:r>
              <w:rPr>
                <w:rFonts w:ascii="Times New Roman" w:hAnsi="Times New Roman"/>
                <w:sz w:val="20"/>
              </w:rPr>
              <w:t>Kfz-Schätzung</w:t>
            </w:r>
          </w:p>
        </w:tc>
      </w:tr>
      <w:tr>
        <w:tc>
          <w:tcPr>
            <w:tcW w:type="dxa" w:w="3024"/>
          </w:tcPr>
          <w:p>
            <w:r>
              <w:rPr>
                <w:rFonts w:ascii="Times New Roman" w:hAnsi="Times New Roman"/>
                <w:sz w:val="20"/>
              </w:rPr>
              <w:t>PKW (privat, Seat)</w:t>
            </w:r>
          </w:p>
        </w:tc>
        <w:tc>
          <w:tcPr>
            <w:tcW w:type="dxa" w:w="3024"/>
          </w:tcPr>
          <w:p>
            <w:r>
              <w:rPr>
                <w:rFonts w:ascii="Times New Roman" w:hAnsi="Times New Roman"/>
                <w:sz w:val="20"/>
              </w:rPr>
              <w:t>8.500</w:t>
            </w:r>
          </w:p>
        </w:tc>
        <w:tc>
          <w:tcPr>
            <w:tcW w:type="dxa" w:w="3024"/>
          </w:tcPr>
          <w:p/>
        </w:tc>
      </w:tr>
      <w:tr>
        <w:tc>
          <w:tcPr>
            <w:tcW w:type="dxa" w:w="3024"/>
          </w:tcPr>
          <w:p>
            <w:r>
              <w:rPr>
                <w:rFonts w:ascii="Times New Roman" w:hAnsi="Times New Roman"/>
                <w:sz w:val="20"/>
              </w:rPr>
              <w:t>Verbindlichkeiten privat</w:t>
            </w:r>
          </w:p>
        </w:tc>
        <w:tc>
          <w:tcPr>
            <w:tcW w:type="dxa" w:w="3024"/>
          </w:tcPr>
          <w:p>
            <w:r>
              <w:rPr>
                <w:rFonts w:ascii="Times New Roman" w:hAnsi="Times New Roman"/>
                <w:sz w:val="20"/>
              </w:rPr>
              <w:t>- 8.200</w:t>
            </w:r>
          </w:p>
        </w:tc>
        <w:tc>
          <w:tcPr>
            <w:tcW w:type="dxa" w:w="3024"/>
          </w:tcPr>
          <w:p>
            <w:r>
              <w:rPr>
                <w:rFonts w:ascii="Times New Roman" w:hAnsi="Times New Roman"/>
                <w:sz w:val="20"/>
              </w:rPr>
              <w:t>Privatdarlehen, Kreditkarte</w:t>
            </w:r>
          </w:p>
        </w:tc>
      </w:tr>
      <w:tr>
        <w:tc>
          <w:tcPr>
            <w:tcW w:type="dxa" w:w="3024"/>
          </w:tcPr>
          <w:p>
            <w:r>
              <w:rPr>
                <w:rFonts w:ascii="Times New Roman" w:hAnsi="Times New Roman"/>
                <w:sz w:val="20"/>
              </w:rPr>
              <w:t>Betriebliche Verbindlichkeiten e.K.</w:t>
            </w:r>
          </w:p>
        </w:tc>
        <w:tc>
          <w:tcPr>
            <w:tcW w:type="dxa" w:w="3024"/>
          </w:tcPr>
          <w:p>
            <w:r>
              <w:rPr>
                <w:rFonts w:ascii="Times New Roman" w:hAnsi="Times New Roman"/>
                <w:sz w:val="20"/>
              </w:rPr>
              <w:t>- 68.000</w:t>
            </w:r>
          </w:p>
        </w:tc>
        <w:tc>
          <w:tcPr>
            <w:tcW w:type="dxa" w:w="3024"/>
          </w:tcPr>
          <w:p>
            <w:r>
              <w:rPr>
                <w:rFonts w:ascii="Times New Roman" w:hAnsi="Times New Roman"/>
                <w:sz w:val="20"/>
              </w:rPr>
              <w:t>Maschinenkredit, Bankdarlehen lt. Bilanz 2023</w:t>
            </w:r>
          </w:p>
        </w:tc>
      </w:tr>
      <w:tr>
        <w:tc>
          <w:tcPr>
            <w:tcW w:type="dxa" w:w="3024"/>
          </w:tcPr>
          <w:p>
            <w:r>
              <w:rPr>
                <w:rFonts w:ascii="Times New Roman" w:hAnsi="Times New Roman"/>
                <w:sz w:val="20"/>
              </w:rPr>
              <w:t>BAV (keine, da e.K.)</w:t>
            </w:r>
          </w:p>
        </w:tc>
        <w:tc>
          <w:tcPr>
            <w:tcW w:type="dxa" w:w="3024"/>
          </w:tcPr>
          <w:p>
            <w:r>
              <w:rPr>
                <w:rFonts w:ascii="Times New Roman" w:hAnsi="Times New Roman"/>
                <w:sz w:val="20"/>
              </w:rPr>
              <w:t>0</w:t>
            </w:r>
          </w:p>
        </w:tc>
        <w:tc>
          <w:tcPr>
            <w:tcW w:type="dxa" w:w="3024"/>
          </w:tcPr>
          <w:p/>
        </w:tc>
      </w:tr>
      <w:tr>
        <w:tc>
          <w:tcPr>
            <w:tcW w:type="dxa" w:w="3024"/>
          </w:tcPr>
          <w:p>
            <w:r>
              <w:rPr>
                <w:rFonts w:ascii="Times New Roman" w:hAnsi="Times New Roman"/>
                <w:b/>
                <w:sz w:val="20"/>
              </w:rPr>
              <w:t>Gesamt Endvermögen Franz (vorläufig)</w:t>
            </w:r>
          </w:p>
        </w:tc>
        <w:tc>
          <w:tcPr>
            <w:tcW w:type="dxa" w:w="3024"/>
          </w:tcPr>
          <w:p>
            <w:r>
              <w:rPr>
                <w:rFonts w:ascii="Times New Roman" w:hAnsi="Times New Roman"/>
                <w:b/>
                <w:sz w:val="20"/>
              </w:rPr>
              <w:t>703.100</w:t>
            </w:r>
          </w:p>
        </w:tc>
        <w:tc>
          <w:tcPr>
            <w:tcW w:type="dxa" w:w="3024"/>
          </w:tcPr>
          <w:p>
            <w:r>
              <w:rPr>
                <w:rFonts w:ascii="Times New Roman" w:hAnsi="Times New Roman"/>
                <w:b/>
                <w:sz w:val="20"/>
              </w:rPr>
              <w:t>erhebliche Unsicherheit wegen fehlender Geschäftsunterlagen</w:t>
            </w:r>
          </w:p>
        </w:tc>
      </w:tr>
    </w:tbl>
    <w:p>
      <w:pPr>
        <w:jc w:val="left"/>
      </w:pPr>
      <w:r>
        <w:rPr>
          <w:b/>
        </w:rPr>
        <w:t>Zugewinn Franz:</w:t>
      </w:r>
      <w:r>
        <w:t xml:space="preserve"> 703.100 EUR − 0 EUR (negatives Anfangsvermögen → 0) = </w:t>
      </w:r>
      <w:r>
        <w:rPr>
          <w:b/>
        </w:rPr>
        <w:t>703.100 EUR</w:t>
      </w:r>
    </w:p>
    <w:p/>
    <w:p>
      <w:pPr>
        <w:pStyle w:val="Heading2"/>
      </w:pPr>
      <w:r>
        <w:rPr>
          <w:rFonts w:ascii="Times New Roman" w:hAnsi="Times New Roman"/>
        </w:rPr>
        <w:t>4. Ausgleichsberechnung (vorläufig)</w:t>
      </w:r>
    </w:p>
    <w:tbl>
      <w:tblPr>
        <w:tblStyle w:val="TableGrid"/>
        <w:tblW w:type="auto" w:w="0"/>
        <w:tblLook w:firstColumn="1" w:firstRow="1" w:lastColumn="0" w:lastRow="0" w:noHBand="0" w:noVBand="1" w:val="04A0"/>
      </w:tblPr>
      <w:tblGrid>
        <w:gridCol w:w="3024"/>
        <w:gridCol w:w="3024"/>
        <w:gridCol w:w="3024"/>
      </w:tblGrid>
      <w:tr>
        <w:tc>
          <w:tcPr>
            <w:tcW w:type="dxa" w:w="3024"/>
          </w:tcPr>
          <w:p/>
        </w:tc>
        <w:tc>
          <w:tcPr>
            <w:tcW w:type="dxa" w:w="3024"/>
          </w:tcPr>
          <w:p>
            <w:r>
              <w:rPr>
                <w:rFonts w:ascii="Times New Roman" w:hAnsi="Times New Roman"/>
                <w:b/>
                <w:sz w:val="20"/>
              </w:rPr>
              <w:t>Hanna</w:t>
            </w:r>
          </w:p>
        </w:tc>
        <w:tc>
          <w:tcPr>
            <w:tcW w:type="dxa" w:w="3024"/>
          </w:tcPr>
          <w:p>
            <w:r>
              <w:rPr>
                <w:rFonts w:ascii="Times New Roman" w:hAnsi="Times New Roman"/>
                <w:b/>
                <w:sz w:val="20"/>
              </w:rPr>
              <w:t>Franz</w:t>
            </w:r>
          </w:p>
        </w:tc>
      </w:tr>
      <w:tr>
        <w:tc>
          <w:tcPr>
            <w:tcW w:type="dxa" w:w="3024"/>
          </w:tcPr>
          <w:p>
            <w:r>
              <w:rPr>
                <w:rFonts w:ascii="Times New Roman" w:hAnsi="Times New Roman"/>
                <w:sz w:val="20"/>
              </w:rPr>
              <w:t>Anfangsvermögen</w:t>
            </w:r>
          </w:p>
        </w:tc>
        <w:tc>
          <w:tcPr>
            <w:tcW w:type="dxa" w:w="3024"/>
          </w:tcPr>
          <w:p>
            <w:r>
              <w:rPr>
                <w:rFonts w:ascii="Times New Roman" w:hAnsi="Times New Roman"/>
                <w:sz w:val="20"/>
              </w:rPr>
              <w:t>8.500</w:t>
            </w:r>
          </w:p>
        </w:tc>
        <w:tc>
          <w:tcPr>
            <w:tcW w:type="dxa" w:w="3024"/>
          </w:tcPr>
          <w:p>
            <w:r>
              <w:rPr>
                <w:rFonts w:ascii="Times New Roman" w:hAnsi="Times New Roman"/>
                <w:sz w:val="20"/>
              </w:rPr>
              <w:t>0</w:t>
            </w:r>
          </w:p>
        </w:tc>
      </w:tr>
      <w:tr>
        <w:tc>
          <w:tcPr>
            <w:tcW w:type="dxa" w:w="3024"/>
          </w:tcPr>
          <w:p>
            <w:r>
              <w:rPr>
                <w:rFonts w:ascii="Times New Roman" w:hAnsi="Times New Roman"/>
                <w:sz w:val="20"/>
              </w:rPr>
              <w:t>Endvermögen</w:t>
            </w:r>
          </w:p>
        </w:tc>
        <w:tc>
          <w:tcPr>
            <w:tcW w:type="dxa" w:w="3024"/>
          </w:tcPr>
          <w:p>
            <w:r>
              <w:rPr>
                <w:rFonts w:ascii="Times New Roman" w:hAnsi="Times New Roman"/>
                <w:sz w:val="20"/>
              </w:rPr>
              <w:t>1.145.700</w:t>
            </w:r>
          </w:p>
        </w:tc>
        <w:tc>
          <w:tcPr>
            <w:tcW w:type="dxa" w:w="3024"/>
          </w:tcPr>
          <w:p>
            <w:r>
              <w:rPr>
                <w:rFonts w:ascii="Times New Roman" w:hAnsi="Times New Roman"/>
                <w:sz w:val="20"/>
              </w:rPr>
              <w:t>703.100</w:t>
            </w:r>
          </w:p>
        </w:tc>
      </w:tr>
      <w:tr>
        <w:tc>
          <w:tcPr>
            <w:tcW w:type="dxa" w:w="3024"/>
          </w:tcPr>
          <w:p>
            <w:r>
              <w:rPr>
                <w:rFonts w:ascii="Times New Roman" w:hAnsi="Times New Roman"/>
                <w:sz w:val="20"/>
              </w:rPr>
              <w:t>Zugewinn</w:t>
            </w:r>
          </w:p>
        </w:tc>
        <w:tc>
          <w:tcPr>
            <w:tcW w:type="dxa" w:w="3024"/>
          </w:tcPr>
          <w:p>
            <w:r>
              <w:rPr>
                <w:rFonts w:ascii="Times New Roman" w:hAnsi="Times New Roman"/>
                <w:sz w:val="20"/>
              </w:rPr>
              <w:t>1.137.200</w:t>
            </w:r>
          </w:p>
        </w:tc>
        <w:tc>
          <w:tcPr>
            <w:tcW w:type="dxa" w:w="3024"/>
          </w:tcPr>
          <w:p>
            <w:r>
              <w:rPr>
                <w:rFonts w:ascii="Times New Roman" w:hAnsi="Times New Roman"/>
                <w:sz w:val="20"/>
              </w:rPr>
              <w:t>703.100</w:t>
            </w:r>
          </w:p>
        </w:tc>
      </w:tr>
      <w:tr>
        <w:tc>
          <w:tcPr>
            <w:tcW w:type="dxa" w:w="3024"/>
          </w:tcPr>
          <w:p>
            <w:r>
              <w:rPr>
                <w:rFonts w:ascii="Times New Roman" w:hAnsi="Times New Roman"/>
                <w:sz w:val="20"/>
              </w:rPr>
              <w:t>Zugewinnüberschuss Hanna</w:t>
            </w:r>
          </w:p>
        </w:tc>
        <w:tc>
          <w:tcPr>
            <w:tcW w:type="dxa" w:w="3024"/>
          </w:tcPr>
          <w:p>
            <w:r>
              <w:rPr>
                <w:rFonts w:ascii="Times New Roman" w:hAnsi="Times New Roman"/>
                <w:b/>
                <w:sz w:val="20"/>
              </w:rPr>
              <w:t>434.100</w:t>
            </w:r>
          </w:p>
        </w:tc>
        <w:tc>
          <w:tcPr>
            <w:tcW w:type="dxa" w:w="3024"/>
          </w:tcPr>
          <w:p>
            <w:r>
              <w:rPr>
                <w:rFonts w:ascii="Times New Roman" w:hAnsi="Times New Roman"/>
                <w:sz w:val="20"/>
              </w:rPr>
              <w:t>—</w:t>
            </w:r>
          </w:p>
        </w:tc>
      </w:tr>
      <w:tr>
        <w:tc>
          <w:tcPr>
            <w:tcW w:type="dxa" w:w="3024"/>
          </w:tcPr>
          <w:p>
            <w:r>
              <w:rPr>
                <w:rFonts w:ascii="Times New Roman" w:hAnsi="Times New Roman"/>
                <w:sz w:val="20"/>
              </w:rPr>
              <w:t>Ausgleichsbetrag (50 %)</w:t>
            </w:r>
          </w:p>
        </w:tc>
        <w:tc>
          <w:tcPr>
            <w:tcW w:type="dxa" w:w="3024"/>
          </w:tcPr>
          <w:p>
            <w:r>
              <w:rPr>
                <w:rFonts w:ascii="Times New Roman" w:hAnsi="Times New Roman"/>
                <w:b/>
                <w:sz w:val="20"/>
              </w:rPr>
              <w:t>217.050</w:t>
            </w:r>
          </w:p>
        </w:tc>
        <w:tc>
          <w:tcPr>
            <w:tcW w:type="dxa" w:w="3024"/>
          </w:tcPr>
          <w:p>
            <w:r>
              <w:rPr>
                <w:rFonts w:ascii="Times New Roman" w:hAnsi="Times New Roman"/>
                <w:sz w:val="20"/>
              </w:rPr>
              <w:t>—</w:t>
            </w:r>
          </w:p>
        </w:tc>
      </w:tr>
    </w:tbl>
    <w:p>
      <w:pPr>
        <w:jc w:val="left"/>
      </w:pPr>
      <w:r>
        <w:rPr>
          <w:b/>
        </w:rPr>
        <w:t>Hanna ist voraussichtlich ausgleichspflichtig</w:t>
      </w:r>
      <w:r>
        <w:t>: Franz kann von Hanna einen Zugewinnausgleich von ca. 217.050 EUR fordern (§ 1378 Abs. 1 BGB).</w:t>
      </w:r>
    </w:p>
    <w:p/>
    <w:p>
      <w:pPr>
        <w:pStyle w:val="Heading2"/>
      </w:pPr>
      <w:r>
        <w:rPr>
          <w:rFonts w:ascii="Times New Roman" w:hAnsi="Times New Roman"/>
        </w:rPr>
        <w:t>5. Bewertungsfragen und offene Punkte</w:t>
      </w:r>
    </w:p>
    <w:p>
      <w:pPr>
        <w:pStyle w:val="Heading3"/>
      </w:pPr>
      <w:r>
        <w:rPr>
          <w:rFonts w:ascii="Times New Roman" w:hAnsi="Times New Roman"/>
        </w:rPr>
        <w:t>5.1 Architekturbüro PartGmbB</w:t>
      </w:r>
    </w:p>
    <w:p>
      <w:pPr>
        <w:jc w:val="left"/>
      </w:pPr>
      <w:r>
        <w:t>Der Unternehmenswert ist der größte und umstrittenste Posten. WP Dreschler hat einen Gesamtwert von 1.420.000 EUR ermittelt. Franz wird vermutlich einen eigenen Gutachter beauftragen. Streitpunkte:</w:t>
      </w:r>
    </w:p>
    <w:p>
      <w:pPr>
        <w:pStyle w:val="ListBullet"/>
      </w:pPr>
      <w:r>
        <w:rPr>
          <w:b/>
        </w:rPr>
        <w:t>Goodwill vs. Substanz:</w:t>
      </w:r>
      <w:r>
        <w:t xml:space="preserve"> Der Bürowert enthält einen erheblichen „Goodwill"-Anteil (Kundenstamm, Ruf, laufende Aufträge). Hanna argumentiert, dieser sei personengebunden und deshalb nicht zugewinnrelevant. Die Rechtsprechung ist uneinheitlich; maßgeblich ist die konkrete Bewertungsmethode (Ertragswert vs. Substanzwert vs. modifiziertes Ertragswertverfahren).</w:t>
      </w:r>
    </w:p>
    <w:p>
      <w:pPr>
        <w:pStyle w:val="ListBullet"/>
      </w:pPr>
      <w:r>
        <w:rPr>
          <w:b/>
        </w:rPr>
        <w:t>Mitgesellschafterin Anne Ürgelheim:</w:t>
      </w:r>
      <w:r>
        <w:t xml:space="preserve"> Die 50 % der Schwester sind kein Hannas Vermögen; das ist klar. Aber Abtretungsbeschränkungen im Gesellschaftsvertrag können den Wert des Anteils reduzieren.</w:t>
      </w:r>
    </w:p>
    <w:p>
      <w:pPr>
        <w:pStyle w:val="ListBullet"/>
      </w:pPr>
      <w:r>
        <w:t>Näheres in Aktenstück 18.</w:t>
      </w:r>
    </w:p>
    <w:p>
      <w:pPr>
        <w:pStyle w:val="Heading3"/>
      </w:pPr>
      <w:r>
        <w:rPr>
          <w:rFonts w:ascii="Times New Roman" w:hAnsi="Times New Roman"/>
        </w:rPr>
        <w:t>5.2 Holzwerkstätten e.K. Franz</w:t>
      </w:r>
    </w:p>
    <w:p>
      <w:pPr>
        <w:jc w:val="left"/>
      </w:pPr>
      <w:r>
        <w:t>Die Bewertung mit 410.000 EUR ist vorläufig und beruht auf öffentlich zugänglichen Informationen (Umsatz, Branchenkennzahlen) sowie einem kurzen Telefongespräch WP Dreschlers mit der Steuerberaterin der Holzwerkstätten. Jahresabschlüsse 2022 und 2023 wurden noch nicht übergeben. RAin Ganzhorn hat Vorlage bis September 2025 angekündigt, stand Aktenstand noch ausstehend.</w:t>
      </w:r>
    </w:p>
    <w:p>
      <w:pPr>
        <w:pStyle w:val="Heading3"/>
      </w:pPr>
      <w:r>
        <w:rPr>
          <w:rFonts w:ascii="Times New Roman" w:hAnsi="Times New Roman"/>
        </w:rPr>
        <w:t>5.3 Immobilienbewertung</w:t>
      </w:r>
    </w:p>
    <w:p>
      <w:pPr>
        <w:jc w:val="left"/>
      </w:pPr>
      <w:r>
        <w:t>SV Klausberg hat 920.000 EUR ermittelt (Ertragswert nach WertV). Der Wert erscheint marktgerecht für das Hannoveraner Segment (Linden, sanierter Altbau, EFH). Es ist zu erwarten, dass Franz keinen eigenen Gutachter beauftragt, da der Wert symmetrisch auf beide Seiten wirkt.</w:t>
      </w:r>
    </w:p>
    <w:p/>
    <w:p>
      <w:pPr>
        <w:pStyle w:val="Heading2"/>
      </w:pPr>
      <w:r>
        <w:rPr>
          <w:rFonts w:ascii="Times New Roman" w:hAnsi="Times New Roman"/>
        </w:rPr>
        <w:t>6. Berechnung im XLSX</w:t>
      </w:r>
    </w:p>
    <w:p>
      <w:pPr>
        <w:jc w:val="left"/>
      </w:pPr>
      <w:r>
        <w:t xml:space="preserve">Detaillierte Schritt-für-Schritt-Berechnung: siehe </w:t>
      </w:r>
      <w:r>
        <w:t>xlsx/zugewinnausgleich_berechnung.xlsx</w:t>
      </w:r>
      <w:r>
        <w: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