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Kindesunterhalt nach Düsseldorfer Tabelle</w:t>
      </w:r>
    </w:p>
    <w:p>
      <w:pPr>
        <w:jc w:val="left"/>
      </w:pPr>
      <w:r>
        <w:t>Stand: September 2025</w:t>
      </w:r>
    </w:p>
    <w:p>
      <w:pPr>
        <w:jc w:val="left"/>
      </w:pPr>
      <w:r>
        <w:t>Bearbeiterin: RAin Dr. Friederike Pohl-Krauss</w:t>
      </w:r>
    </w:p>
    <w:p/>
    <w:p>
      <w:pPr>
        <w:pStyle w:val="Heading2"/>
      </w:pPr>
      <w:r>
        <w:rPr>
          <w:rFonts w:ascii="Times New Roman" w:hAnsi="Times New Roman"/>
        </w:rPr>
        <w:t>1. Grundlagen</w:t>
      </w:r>
    </w:p>
    <w:p>
      <w:pPr>
        <w:jc w:val="left"/>
      </w:pPr>
      <w:r>
        <w:t>Kindesunterhalt bemisst sich nach dem bereinigten Nettoeinkommen des barunterhaltspflichtigen Elternteils und dem Alter des Kindes. Die Düsseldorfer Tabelle (herausgegeben vom OLG Düsseldorf als Richtlinie) gibt Regelbedarfsbeträge vor. In dieser Akte werden als Arbeitsgrundlage die Werte der Tabelle 2025 angesetzt; der zum Stichtag 01.01.2026 maßgebliche Stand ist vor Verwendung an der amtlichen Quelle (OLG Düsseldorf) zu verifizieren und einzusetzen.</w:t>
      </w:r>
    </w:p>
    <w:p>
      <w:pPr>
        <w:jc w:val="left"/>
      </w:pPr>
      <w:r>
        <w:rPr>
          <w:b/>
        </w:rPr>
        <w:t>Barunterhaltspflicht:</w:t>
      </w:r>
      <w:r>
        <w:t xml:space="preserve"> Da die Kinder ihren gewöhnlichen Aufenthalt bei Hanna haben (Residenzmodell), erbringt Hanna den Betreuungsunterhalt. Franz ist barunterhaltspflichtig. Hanna ist ebenfalls barunterhaltspflichtig (Haftung anteilig), aber sie lebt mit den Kindern und erbringt ihren Unterhaltsbeitrag durch Naturalunterhalt (§ 1606 Abs. 3 Satz 1 BGB).</w:t>
      </w:r>
    </w:p>
    <w:p>
      <w:pPr>
        <w:jc w:val="left"/>
      </w:pPr>
      <w:r>
        <w:rPr>
          <w:b/>
        </w:rPr>
        <w:t>Stichtag:</w:t>
      </w:r>
      <w:r>
        <w:t xml:space="preserve"> Kindesunterhalt wird ab dem Monat berechnet, in dem der andere Elternteil in Verzug gesetzt oder der Antrag gestellt wird. Für die Planung: Stichtag 01.01.2026 (nach Ablauf des Trennungsjahres und voraussichtlicher Einreichung Scheidungsantrag).</w:t>
      </w:r>
    </w:p>
    <w:p/>
    <w:p>
      <w:pPr>
        <w:pStyle w:val="Heading2"/>
      </w:pPr>
      <w:r>
        <w:rPr>
          <w:rFonts w:ascii="Times New Roman" w:hAnsi="Times New Roman"/>
        </w:rPr>
        <w:t>2. Bereinigtes Nettoeinkommen Franz</w:t>
      </w:r>
    </w:p>
    <w:p>
      <w:pPr>
        <w:jc w:val="left"/>
      </w:pPr>
      <w:r>
        <w:t>Franz verdient netto rd. 3.100 EUR/Monat als Inhaber der Holzwerkstätten e.K. (Entnahmen aus dem Unternehmen, variabel). Zur Ermittlung des unterhaltsrechtlich relevanten Einkommens sind folgende Korrekturen vorzunehmen: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(EUR/Monat)</w:t>
            </w:r>
          </w:p>
        </w:tc>
      </w:tr>
      <w:tr>
        <w:tc>
          <w:tcPr>
            <w:tcW w:type="dxa" w:w="4536"/>
          </w:tcPr>
          <w:p>
            <w:r>
              <w:rPr>
                <w:rFonts w:ascii="Times New Roman" w:hAnsi="Times New Roman"/>
                <w:sz w:val="20"/>
              </w:rPr>
              <w:t>Nettoeinkommen lt. Angabe</w:t>
            </w:r>
          </w:p>
        </w:tc>
        <w:tc>
          <w:tcPr>
            <w:tcW w:type="dxa" w:w="4536"/>
          </w:tcPr>
          <w:p>
            <w:r>
              <w:rPr>
                <w:rFonts w:ascii="Times New Roman" w:hAnsi="Times New Roman"/>
                <w:sz w:val="20"/>
              </w:rPr>
              <w:t>3.100</w:t>
            </w:r>
          </w:p>
        </w:tc>
      </w:tr>
      <w:tr>
        <w:tc>
          <w:tcPr>
            <w:tcW w:type="dxa" w:w="4536"/>
          </w:tcPr>
          <w:p>
            <w:r>
              <w:rPr>
                <w:rFonts w:ascii="Times New Roman" w:hAnsi="Times New Roman"/>
                <w:sz w:val="20"/>
              </w:rPr>
              <w:t>Berufsbedingte Fahrtkosten (Pendeln Linden–Stöcken, ca. 18 km × 2 × 0,30 EUR × 22 Tage)</w:t>
            </w:r>
          </w:p>
        </w:tc>
        <w:tc>
          <w:tcPr>
            <w:tcW w:type="dxa" w:w="4536"/>
          </w:tcPr>
          <w:p>
            <w:r>
              <w:rPr>
                <w:rFonts w:ascii="Times New Roman" w:hAnsi="Times New Roman"/>
                <w:sz w:val="20"/>
              </w:rPr>
              <w:t>- 237</w:t>
            </w:r>
          </w:p>
        </w:tc>
      </w:tr>
      <w:tr>
        <w:tc>
          <w:tcPr>
            <w:tcW w:type="dxa" w:w="4536"/>
          </w:tcPr>
          <w:p>
            <w:r>
              <w:rPr>
                <w:rFonts w:ascii="Times New Roman" w:hAnsi="Times New Roman"/>
                <w:sz w:val="20"/>
              </w:rPr>
              <w:t>Weitere berufliche Aufwendungen (Schätzung)</w:t>
            </w:r>
          </w:p>
        </w:tc>
        <w:tc>
          <w:tcPr>
            <w:tcW w:type="dxa" w:w="4536"/>
          </w:tcPr>
          <w:p>
            <w:r>
              <w:rPr>
                <w:rFonts w:ascii="Times New Roman" w:hAnsi="Times New Roman"/>
                <w:sz w:val="20"/>
              </w:rPr>
              <w:t>- 50</w:t>
            </w:r>
          </w:p>
        </w:tc>
      </w:tr>
      <w:tr>
        <w:tc>
          <w:tcPr>
            <w:tcW w:type="dxa" w:w="4536"/>
          </w:tcPr>
          <w:p>
            <w:r>
              <w:rPr>
                <w:rFonts w:ascii="Times New Roman" w:hAnsi="Times New Roman"/>
                <w:sz w:val="20"/>
              </w:rPr>
              <w:t>Selbstständigenabzug: ggf. Gewerbesteuer-Rücklagen</w:t>
            </w:r>
          </w:p>
        </w:tc>
        <w:tc>
          <w:tcPr>
            <w:tcW w:type="dxa" w:w="4536"/>
          </w:tcPr>
          <w:p>
            <w:r>
              <w:rPr>
                <w:rFonts w:ascii="Times New Roman" w:hAnsi="Times New Roman"/>
                <w:sz w:val="20"/>
              </w:rPr>
              <w:t>zu prüfen</w:t>
            </w:r>
          </w:p>
        </w:tc>
      </w:tr>
      <w:tr>
        <w:tc>
          <w:tcPr>
            <w:tcW w:type="dxa" w:w="4536"/>
          </w:tcPr>
          <w:p>
            <w:r>
              <w:rPr>
                <w:rFonts w:ascii="Times New Roman" w:hAnsi="Times New Roman"/>
                <w:b/>
                <w:sz w:val="20"/>
              </w:rPr>
              <w:t>Bereinigtes Nettoeinkommen Franz (vorläufig)</w:t>
            </w:r>
          </w:p>
        </w:tc>
        <w:tc>
          <w:tcPr>
            <w:tcW w:type="dxa" w:w="4536"/>
          </w:tcPr>
          <w:p>
            <w:r>
              <w:rPr>
                <w:rFonts w:ascii="Times New Roman" w:hAnsi="Times New Roman"/>
                <w:b/>
                <w:sz w:val="20"/>
              </w:rPr>
              <w:t>ca. 2.813</w:t>
            </w:r>
          </w:p>
        </w:tc>
      </w:tr>
    </w:tbl>
    <w:p>
      <w:pPr>
        <w:jc w:val="left"/>
      </w:pPr>
      <w:r>
        <w:t>Hinweis: Da Franz Inhaber eines e.K. ist, wird das Einkommen aus der Gewinnentnahme ermittelt, nicht aus einem Gehaltszettel. Maßgeblich sind die Jahresabschlüsse. Aktuell fehlen Unterlagen; Schätzung basiert auf Hannas Angaben und Franz' eigener Erklärung (mdl. gegenüber Jugendamt).</w:t>
      </w:r>
    </w:p>
    <w:p/>
    <w:p>
      <w:pPr>
        <w:pStyle w:val="Heading2"/>
      </w:pPr>
      <w:r>
        <w:rPr>
          <w:rFonts w:ascii="Times New Roman" w:hAnsi="Times New Roman"/>
        </w:rPr>
        <w:t>3. Düsseldorfer Tabelle — Einordnung Franz (Arbeitsgrundlage Tabelle 2025)</w:t>
      </w:r>
    </w:p>
    <w:p>
      <w:pPr>
        <w:jc w:val="left"/>
      </w:pPr>
      <w:r>
        <w:t xml:space="preserve">Nach vorläufigem bereinigtem Nettoeinkommen ca. 2.813 EUR/Monat. Dies entspricht </w:t>
      </w:r>
      <w:r>
        <w:rPr>
          <w:b/>
        </w:rPr>
        <w:t>Einkommensgruppe 3</w:t>
      </w:r>
      <w:r>
        <w:t xml:space="preserve"> (auf Basis der Tabelle 2025; exakte Gruppenabgrenzungen und Beträge des zum Stichtag maßgeblichen Stands sind live zu verifizieren). Zur Orientierung der hier verwendeten 2025-Werte: 1.901 bis 2.300 EUR Gruppe 2, 2.301 bis 2.900 EUR Gruppe 3.</w:t>
      </w:r>
    </w:p>
    <w:p>
      <w:pPr>
        <w:jc w:val="left"/>
      </w:pPr>
      <w:r>
        <w:rPr>
          <w:b/>
        </w:rPr>
        <w:t>Tabellenbedarfe Gruppe 3 (Tabelle 2025, ggf. anzupassen):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Kind</w:t>
            </w:r>
          </w:p>
        </w:tc>
        <w:tc>
          <w:tcPr>
            <w:tcW w:type="dxa" w:w="1814"/>
          </w:tcPr>
          <w:p>
            <w:r>
              <w:rPr>
                <w:rFonts w:ascii="Times New Roman" w:hAnsi="Times New Roman"/>
                <w:b/>
                <w:sz w:val="20"/>
              </w:rPr>
              <w:t>Alter</w:t>
            </w:r>
          </w:p>
        </w:tc>
        <w:tc>
          <w:tcPr>
            <w:tcW w:type="dxa" w:w="1814"/>
          </w:tcPr>
          <w:p>
            <w:r>
              <w:rPr>
                <w:rFonts w:ascii="Times New Roman" w:hAnsi="Times New Roman"/>
                <w:b/>
                <w:sz w:val="20"/>
              </w:rPr>
              <w:t>Tabellenbetrag (Gruppe 3)</w:t>
            </w:r>
          </w:p>
        </w:tc>
        <w:tc>
          <w:tcPr>
            <w:tcW w:type="dxa" w:w="1814"/>
          </w:tcPr>
          <w:p>
            <w:r>
              <w:rPr>
                <w:rFonts w:ascii="Times New Roman" w:hAnsi="Times New Roman"/>
                <w:b/>
                <w:sz w:val="20"/>
              </w:rPr>
              <w:t>Hälftiges Kindergeld</w:t>
            </w:r>
          </w:p>
        </w:tc>
        <w:tc>
          <w:tcPr>
            <w:tcW w:type="dxa" w:w="1814"/>
          </w:tcPr>
          <w:p>
            <w:r>
              <w:rPr>
                <w:rFonts w:ascii="Times New Roman" w:hAnsi="Times New Roman"/>
                <w:b/>
                <w:sz w:val="20"/>
              </w:rPr>
              <w:t>Zahlbetrag</w:t>
            </w:r>
          </w:p>
        </w:tc>
      </w:tr>
      <w:tr>
        <w:tc>
          <w:tcPr>
            <w:tcW w:type="dxa" w:w="1814"/>
          </w:tcPr>
          <w:p>
            <w:r>
              <w:rPr>
                <w:rFonts w:ascii="Times New Roman" w:hAnsi="Times New Roman"/>
                <w:sz w:val="20"/>
              </w:rPr>
              <w:t>Mara</w:t>
            </w:r>
          </w:p>
        </w:tc>
        <w:tc>
          <w:tcPr>
            <w:tcW w:type="dxa" w:w="1814"/>
          </w:tcPr>
          <w:p>
            <w:r>
              <w:rPr>
                <w:rFonts w:ascii="Times New Roman" w:hAnsi="Times New Roman"/>
                <w:sz w:val="20"/>
              </w:rPr>
              <w:t>1. 0–5 J. ✗ / 2. 6–11 J. ✗ / 3. 12–17 J. ✓</w:t>
            </w:r>
          </w:p>
        </w:tc>
        <w:tc>
          <w:tcPr>
            <w:tcW w:type="dxa" w:w="1814"/>
          </w:tcPr>
          <w:p>
            <w:r>
              <w:rPr>
                <w:rFonts w:ascii="Times New Roman" w:hAnsi="Times New Roman"/>
                <w:sz w:val="20"/>
              </w:rPr>
              <w:t>623 EUR</w:t>
            </w:r>
          </w:p>
        </w:tc>
        <w:tc>
          <w:tcPr>
            <w:tcW w:type="dxa" w:w="1814"/>
          </w:tcPr>
          <w:p>
            <w:r>
              <w:rPr>
                <w:rFonts w:ascii="Times New Roman" w:hAnsi="Times New Roman"/>
                <w:sz w:val="20"/>
              </w:rPr>
              <w:t>128 EUR</w:t>
            </w:r>
          </w:p>
        </w:tc>
        <w:tc>
          <w:tcPr>
            <w:tcW w:type="dxa" w:w="1814"/>
          </w:tcPr>
          <w:p>
            <w:r>
              <w:rPr>
                <w:rFonts w:ascii="Times New Roman" w:hAnsi="Times New Roman"/>
                <w:b/>
                <w:sz w:val="20"/>
              </w:rPr>
              <w:t>495 EUR</w:t>
            </w:r>
          </w:p>
        </w:tc>
      </w:tr>
      <w:tr>
        <w:tc>
          <w:tcPr>
            <w:tcW w:type="dxa" w:w="1814"/>
          </w:tcPr>
          <w:p>
            <w:r>
              <w:rPr>
                <w:rFonts w:ascii="Times New Roman" w:hAnsi="Times New Roman"/>
                <w:sz w:val="20"/>
              </w:rPr>
              <w:t>Jonas</w:t>
            </w:r>
          </w:p>
        </w:tc>
        <w:tc>
          <w:tcPr>
            <w:tcW w:type="dxa" w:w="1814"/>
          </w:tcPr>
          <w:p>
            <w:r>
              <w:rPr>
                <w:rFonts w:ascii="Times New Roman" w:hAnsi="Times New Roman"/>
                <w:sz w:val="20"/>
              </w:rPr>
              <w:t>12–17 J.</w:t>
            </w:r>
          </w:p>
        </w:tc>
        <w:tc>
          <w:tcPr>
            <w:tcW w:type="dxa" w:w="1814"/>
          </w:tcPr>
          <w:p>
            <w:r>
              <w:rPr>
                <w:rFonts w:ascii="Times New Roman" w:hAnsi="Times New Roman"/>
                <w:sz w:val="20"/>
              </w:rPr>
              <w:t>623 EUR</w:t>
            </w:r>
          </w:p>
        </w:tc>
        <w:tc>
          <w:tcPr>
            <w:tcW w:type="dxa" w:w="1814"/>
          </w:tcPr>
          <w:p>
            <w:r>
              <w:rPr>
                <w:rFonts w:ascii="Times New Roman" w:hAnsi="Times New Roman"/>
                <w:sz w:val="20"/>
              </w:rPr>
              <w:t>128 EUR</w:t>
            </w:r>
          </w:p>
        </w:tc>
        <w:tc>
          <w:tcPr>
            <w:tcW w:type="dxa" w:w="1814"/>
          </w:tcPr>
          <w:p>
            <w:r>
              <w:rPr>
                <w:rFonts w:ascii="Times New Roman" w:hAnsi="Times New Roman"/>
                <w:b/>
                <w:sz w:val="20"/>
              </w:rPr>
              <w:t>495 EUR</w:t>
            </w:r>
          </w:p>
        </w:tc>
      </w:tr>
      <w:tr>
        <w:tc>
          <w:tcPr>
            <w:tcW w:type="dxa" w:w="1814"/>
          </w:tcPr>
          <w:p>
            <w:r>
              <w:rPr>
                <w:rFonts w:ascii="Times New Roman" w:hAnsi="Times New Roman"/>
                <w:sz w:val="20"/>
              </w:rPr>
              <w:t>Lina</w:t>
            </w:r>
          </w:p>
        </w:tc>
        <w:tc>
          <w:tcPr>
            <w:tcW w:type="dxa" w:w="1814"/>
          </w:tcPr>
          <w:p>
            <w:r>
              <w:rPr>
                <w:rFonts w:ascii="Times New Roman" w:hAnsi="Times New Roman"/>
                <w:sz w:val="20"/>
              </w:rPr>
              <w:t>6–11 J.</w:t>
            </w:r>
          </w:p>
        </w:tc>
        <w:tc>
          <w:tcPr>
            <w:tcW w:type="dxa" w:w="1814"/>
          </w:tcPr>
          <w:p>
            <w:r>
              <w:rPr>
                <w:rFonts w:ascii="Times New Roman" w:hAnsi="Times New Roman"/>
                <w:sz w:val="20"/>
              </w:rPr>
              <w:t>558 EUR</w:t>
            </w:r>
          </w:p>
        </w:tc>
        <w:tc>
          <w:tcPr>
            <w:tcW w:type="dxa" w:w="1814"/>
          </w:tcPr>
          <w:p>
            <w:r>
              <w:rPr>
                <w:rFonts w:ascii="Times New Roman" w:hAnsi="Times New Roman"/>
                <w:sz w:val="20"/>
              </w:rPr>
              <w:t>128 EUR</w:t>
            </w:r>
          </w:p>
        </w:tc>
        <w:tc>
          <w:tcPr>
            <w:tcW w:type="dxa" w:w="1814"/>
          </w:tcPr>
          <w:p>
            <w:r>
              <w:rPr>
                <w:rFonts w:ascii="Times New Roman" w:hAnsi="Times New Roman"/>
                <w:b/>
                <w:sz w:val="20"/>
              </w:rPr>
              <w:t>430 EUR</w:t>
            </w:r>
          </w:p>
        </w:tc>
      </w:tr>
    </w:tbl>
    <w:p>
      <w:pPr>
        <w:jc w:val="left"/>
      </w:pPr>
      <w:r>
        <w:rPr>
          <w:b/>
        </w:rPr>
        <w:t>Kindergeld:</w:t>
      </w:r>
      <w:r>
        <w:t xml:space="preserve"> Das hälftige Kindergeld (hier einheitlich mit 128 EUR/Kind angesetzt) wird auf den Tabellenunterhalt angerechnet, wenn das Kind beim anderen Elternteil lebt und dieser das Kindergeld erhält. Hanna bezieht das Kindergeld. Abzug 128 EUR/Kind vom Tabellenunterhalt → ergibt Zahlbetrag (oben). Der ab 2026 maßgebliche Kindergeldbetrag (volle und hälftige Höhe) ist vor Verwendung an der amtlichen Quelle (zuständiges Bundesministerium) zu verifizieren.</w:t>
      </w:r>
    </w:p>
    <w:p>
      <w:pPr>
        <w:jc w:val="left"/>
      </w:pPr>
      <w:r>
        <w:t>Korrekturhinweis: Tabellenbeträge 2026 werden vom OLG Düsseldorf voraussichtlich Anfang 2026 angepasst. Sobald die aktualisierten Werte vorliegen, ist die Berechnung zu aktualisieren.</w:t>
      </w:r>
    </w:p>
    <w:p>
      <w:pPr>
        <w:jc w:val="left"/>
      </w:pPr>
      <w:r>
        <w:rPr>
          <w:b/>
        </w:rPr>
        <w:t>Zahlbeträge gesamt (vorläufig, Stichtag Jan.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Kind</w:t>
            </w:r>
          </w:p>
        </w:tc>
        <w:tc>
          <w:tcPr>
            <w:tcW w:type="dxa" w:w="4536"/>
          </w:tcPr>
          <w:p>
            <w:r>
              <w:rPr>
                <w:rFonts w:ascii="Times New Roman" w:hAnsi="Times New Roman"/>
                <w:b/>
                <w:sz w:val="20"/>
              </w:rPr>
              <w:t>Zahlbetrag/Monat</w:t>
            </w:r>
          </w:p>
        </w:tc>
      </w:tr>
      <w:tr>
        <w:tc>
          <w:tcPr>
            <w:tcW w:type="dxa" w:w="4536"/>
          </w:tcPr>
          <w:p>
            <w:r>
              <w:rPr>
                <w:rFonts w:ascii="Times New Roman" w:hAnsi="Times New Roman"/>
                <w:sz w:val="20"/>
              </w:rPr>
              <w:t>Mara</w:t>
            </w:r>
          </w:p>
        </w:tc>
        <w:tc>
          <w:tcPr>
            <w:tcW w:type="dxa" w:w="4536"/>
          </w:tcPr>
          <w:p>
            <w:r>
              <w:rPr>
                <w:rFonts w:ascii="Times New Roman" w:hAnsi="Times New Roman"/>
                <w:sz w:val="20"/>
              </w:rPr>
              <w:t>495 EUR</w:t>
            </w:r>
          </w:p>
        </w:tc>
      </w:tr>
      <w:tr>
        <w:tc>
          <w:tcPr>
            <w:tcW w:type="dxa" w:w="4536"/>
          </w:tcPr>
          <w:p>
            <w:r>
              <w:rPr>
                <w:rFonts w:ascii="Times New Roman" w:hAnsi="Times New Roman"/>
                <w:sz w:val="20"/>
              </w:rPr>
              <w:t>Jonas</w:t>
            </w:r>
          </w:p>
        </w:tc>
        <w:tc>
          <w:tcPr>
            <w:tcW w:type="dxa" w:w="4536"/>
          </w:tcPr>
          <w:p>
            <w:r>
              <w:rPr>
                <w:rFonts w:ascii="Times New Roman" w:hAnsi="Times New Roman"/>
                <w:sz w:val="20"/>
              </w:rPr>
              <w:t>495 EUR</w:t>
            </w:r>
          </w:p>
        </w:tc>
      </w:tr>
      <w:tr>
        <w:tc>
          <w:tcPr>
            <w:tcW w:type="dxa" w:w="4536"/>
          </w:tcPr>
          <w:p>
            <w:r>
              <w:rPr>
                <w:rFonts w:ascii="Times New Roman" w:hAnsi="Times New Roman"/>
                <w:sz w:val="20"/>
              </w:rPr>
              <w:t>Lina</w:t>
            </w:r>
          </w:p>
        </w:tc>
        <w:tc>
          <w:tcPr>
            <w:tcW w:type="dxa" w:w="4536"/>
          </w:tcPr>
          <w:p>
            <w:r>
              <w:rPr>
                <w:rFonts w:ascii="Times New Roman" w:hAnsi="Times New Roman"/>
                <w:sz w:val="20"/>
              </w:rPr>
              <w:t>430 EUR</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1.420 EUR</w:t>
            </w:r>
          </w:p>
        </w:tc>
      </w:tr>
    </w:tbl>
    <w:p/>
    <w:p>
      <w:pPr>
        <w:pStyle w:val="Heading2"/>
      </w:pPr>
      <w:r>
        <w:rPr>
          <w:rFonts w:ascii="Times New Roman" w:hAnsi="Times New Roman"/>
        </w:rPr>
        <w:t>4. Mangelfall?</w:t>
      </w:r>
    </w:p>
    <w:p>
      <w:pPr>
        <w:jc w:val="left"/>
      </w:pPr>
      <w:r>
        <w:t>Bei Franz' bereinigtem Nettoeinkommen von ca. 2.813 EUR und einem Selbstbehalt des nicht zusammenlebenden Elternteils von derzeit 1.450 EUR (2025-Tabelle; für 2026 ggf. angepasst) ergibt sich:</w:t>
      </w:r>
    </w:p>
    <w:p>
      <w:pPr>
        <w:pStyle w:val="ListBullet"/>
      </w:pPr>
      <w:r>
        <w:t>Verfügbarer Betrag nach Selbstbehalt: 2.813 − 1.450 = 1.363 EUR</w:t>
      </w:r>
    </w:p>
    <w:p>
      <w:pPr>
        <w:pStyle w:val="ListBullet"/>
      </w:pPr>
      <w:r>
        <w:t>Gesamtunterhalt (Tabellenwert, vor Kindergeldabzug): 3 × 623 EUR + ggf. angepasst</w:t>
      </w:r>
    </w:p>
    <w:p>
      <w:pPr>
        <w:pStyle w:val="ListBullet"/>
      </w:pPr>
      <w:r>
        <w:t xml:space="preserve">Kurzcheck: 3 × 623 = 1.869 EUR &gt; 1.363 EUR → </w:t>
      </w:r>
      <w:r>
        <w:rPr>
          <w:b/>
        </w:rPr>
        <w:t>Mangelfall möglich!</w:t>
      </w:r>
    </w:p>
    <w:p>
      <w:pPr>
        <w:jc w:val="left"/>
      </w:pPr>
      <w:r>
        <w:t>Bei einem Mangelfall ist der verfügbare Betrag anteilig auf die Kinder aufzuteilen. Die Rangfolge nach § 1609 BGB stellt minderjährige Kinder gleichrangig an erste Stelle. Eine genaue Mangelberechnung ist im XLSX (Aktenstück 14) abgebildet.</w:t>
      </w:r>
    </w:p>
    <w:p>
      <w:pPr>
        <w:jc w:val="left"/>
      </w:pPr>
      <w:r>
        <w:t>Strategische Überlegung: Wenn Franz den Mangelfall einwendet, muss er seine Einkünfte vollständig offenlegen — das könnte im Gegenteil ergeben, dass sein Einkommen tatsächlich höher ist als bisher angegeben.</w:t>
      </w:r>
    </w:p>
    <w:p/>
    <w:p>
      <w:pPr>
        <w:pStyle w:val="Heading2"/>
      </w:pPr>
      <w:r>
        <w:rPr>
          <w:rFonts w:ascii="Times New Roman" w:hAnsi="Times New Roman"/>
        </w:rPr>
        <w:t>5. Ab 2027: Mara volljährig</w:t>
      </w:r>
    </w:p>
    <w:p>
      <w:pPr>
        <w:jc w:val="left"/>
      </w:pPr>
      <w:r>
        <w:t>Mara wird voraussichtlich Ende 2027 (genaues Datum: 2027) 18 Jahre alt. Damit endet der normale Kindesunterhalt als minderjähriges Kind. Ab Volljährigkeit gilt:</w:t>
      </w:r>
    </w:p>
    <w:p>
      <w:pPr>
        <w:pStyle w:val="ListBullet"/>
      </w:pPr>
      <w:r>
        <w:t>Mara kann Unterhalt selbst geltend machen.</w:t>
      </w:r>
    </w:p>
    <w:p>
      <w:pPr>
        <w:pStyle w:val="ListBullet"/>
      </w:pPr>
      <w:r>
        <w:t>Beide Elternteile haften anteilig (§ 1606 Abs. 3 BGB).</w:t>
      </w:r>
    </w:p>
    <w:p>
      <w:pPr>
        <w:pStyle w:val="ListBullet"/>
      </w:pPr>
      <w:r>
        <w:t>Wenn Mara studiert: Haftung nach den Einkommensverhältnissen beider Elternteile.</w:t>
      </w:r>
    </w:p>
    <w:p>
      <w:pPr>
        <w:jc w:val="left"/>
      </w:pPr>
      <w:r>
        <w:t>Hanna und Franz hätten dann für den Volljährigenunterhalt je nach ihrem bereinigten Einkommen anteilig aufzukommen. Angesichts des erheblichen Einkommensunterschieds (Hanna ca. 8.400, Franz ca. 3.100 netto) würde Hanna den überwiegenden Anteil tragen. Streitpunkt: Franz könnte argumentieren, sein Unterhaltsbeitrag sei durch die Ausbildungskosten der Kinder (Bücher, ÖV-Ticket) abgedeckt, die er bei Umgangswochenenden trägt.</w:t>
      </w:r>
    </w:p>
    <w:p/>
    <w:p>
      <w:pPr>
        <w:pStyle w:val="Heading2"/>
      </w:pPr>
      <w:r>
        <w:rPr>
          <w:rFonts w:ascii="Times New Roman" w:hAnsi="Times New Roman"/>
        </w:rPr>
        <w:t>6. Tabellarische Gesamtschau</w:t>
      </w:r>
    </w:p>
    <w:p>
      <w:pPr>
        <w:jc w:val="left"/>
      </w:pPr>
      <w:r>
        <w:t>Detaillierte Berechnung (inkl. Mangelfall-Szenario, Volljährigen-Prognose) im XLSX-Aktenstück 14.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