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Trennungsunterhalt — Franz gegen Hanna?</w:t>
      </w:r>
    </w:p>
    <w:p>
      <w:pPr>
        <w:jc w:val="left"/>
      </w:pPr>
      <w:r>
        <w:t>Stand: September 2025</w:t>
      </w:r>
    </w:p>
    <w:p>
      <w:pPr>
        <w:jc w:val="left"/>
      </w:pPr>
      <w:r>
        <w:t>Bearbeiterin: RAin Dr. Friederike Pohl-Krauss</w:t>
      </w:r>
    </w:p>
    <w:p/>
    <w:p>
      <w:pPr>
        <w:pStyle w:val="Heading2"/>
      </w:pPr>
      <w:r>
        <w:rPr>
          <w:rFonts w:ascii="Times New Roman" w:hAnsi="Times New Roman"/>
        </w:rPr>
        <w:t>1. Fragestellung</w:t>
      </w:r>
    </w:p>
    <w:p>
      <w:pPr>
        <w:jc w:val="left"/>
      </w:pPr>
      <w:r>
        <w:t>Hanna verdient erheblich mehr als Franz. Es stellt sich die Frage, ob Franz gegen Hanna Trennungsunterhalt nach § 1361 BGB geltend machen kann.</w:t>
      </w:r>
    </w:p>
    <w:p/>
    <w:p>
      <w:pPr>
        <w:pStyle w:val="Heading2"/>
      </w:pPr>
      <w:r>
        <w:rPr>
          <w:rFonts w:ascii="Times New Roman" w:hAnsi="Times New Roman"/>
        </w:rPr>
        <w:t>2. Rechtlicher Rahmen</w:t>
      </w:r>
    </w:p>
    <w:p>
      <w:pPr>
        <w:jc w:val="left"/>
      </w:pPr>
      <w:r>
        <w:t>§ 1361 Abs. 1 BGB: Bei Getrenntleben kann ein Ehegatte von dem anderen den nach den Lebensverhältnissen und den Erwerbs- und Vermögensverhältnissen der Ehegatten angemessenen Unterhalt verlangen. Dieser Unterhaltsanspruch gilt während der Trennungszeit bis zur rechtskräftigen Scheidung.</w:t>
      </w:r>
    </w:p>
    <w:p>
      <w:pPr>
        <w:jc w:val="left"/>
      </w:pPr>
      <w:r>
        <w:t>Der Trennungsunterhalt orientiert sich an den ehelichen Lebensverhältnissen (BGH-Rechtsprechung). Maßstab ist der Lebensstandard, der im letzten gemeinsamen Haushalt geherrscht hat.</w:t>
      </w:r>
    </w:p>
    <w:p/>
    <w:p>
      <w:pPr>
        <w:pStyle w:val="Heading2"/>
      </w:pPr>
      <w:r>
        <w:rPr>
          <w:rFonts w:ascii="Times New Roman" w:hAnsi="Times New Roman"/>
        </w:rPr>
        <w:t>3. Einkommenssituation</w:t>
      </w:r>
    </w:p>
    <w:tbl>
      <w:tblPr>
        <w:tblStyle w:val="TableGrid"/>
        <w:tblW w:type="auto" w:w="0"/>
        <w:tblLook w:firstColumn="1" w:firstRow="1" w:lastColumn="0" w:lastRow="0" w:noHBand="0" w:noVBand="1" w:val="04A0"/>
      </w:tblPr>
      <w:tblGrid>
        <w:gridCol w:w="3024"/>
        <w:gridCol w:w="3024"/>
        <w:gridCol w:w="3024"/>
      </w:tblGrid>
      <w:tr>
        <w:tc>
          <w:tcPr>
            <w:tcW w:type="dxa" w:w="3024"/>
          </w:tcPr>
          <w:p/>
        </w:tc>
        <w:tc>
          <w:tcPr>
            <w:tcW w:type="dxa" w:w="3024"/>
          </w:tcPr>
          <w:p>
            <w:r>
              <w:rPr>
                <w:rFonts w:ascii="Times New Roman" w:hAnsi="Times New Roman"/>
                <w:b/>
                <w:sz w:val="20"/>
              </w:rPr>
              <w:t>Hanna</w:t>
            </w:r>
          </w:p>
        </w:tc>
        <w:tc>
          <w:tcPr>
            <w:tcW w:type="dxa" w:w="3024"/>
          </w:tcPr>
          <w:p>
            <w:r>
              <w:rPr>
                <w:rFonts w:ascii="Times New Roman" w:hAnsi="Times New Roman"/>
                <w:b/>
                <w:sz w:val="20"/>
              </w:rPr>
              <w:t>Franz</w:t>
            </w:r>
          </w:p>
        </w:tc>
      </w:tr>
      <w:tr>
        <w:tc>
          <w:tcPr>
            <w:tcW w:type="dxa" w:w="3024"/>
          </w:tcPr>
          <w:p>
            <w:r>
              <w:rPr>
                <w:rFonts w:ascii="Times New Roman" w:hAnsi="Times New Roman"/>
                <w:sz w:val="20"/>
              </w:rPr>
              <w:t>Bereinigtes Nettoeinkommen (lt. bisheriger Akte)</w:t>
            </w:r>
          </w:p>
        </w:tc>
        <w:tc>
          <w:tcPr>
            <w:tcW w:type="dxa" w:w="3024"/>
          </w:tcPr>
          <w:p>
            <w:r>
              <w:rPr>
                <w:rFonts w:ascii="Times New Roman" w:hAnsi="Times New Roman"/>
                <w:sz w:val="20"/>
              </w:rPr>
              <w:t>ca. 8.400 EUR/Monat</w:t>
            </w:r>
          </w:p>
        </w:tc>
        <w:tc>
          <w:tcPr>
            <w:tcW w:type="dxa" w:w="3024"/>
          </w:tcPr>
          <w:p>
            <w:r>
              <w:rPr>
                <w:rFonts w:ascii="Times New Roman" w:hAnsi="Times New Roman"/>
                <w:sz w:val="20"/>
              </w:rPr>
              <w:t>ca. 3.100 EUR/Monat (vorläufig)</w:t>
            </w:r>
          </w:p>
        </w:tc>
      </w:tr>
      <w:tr>
        <w:tc>
          <w:tcPr>
            <w:tcW w:type="dxa" w:w="3024"/>
          </w:tcPr>
          <w:p>
            <w:r>
              <w:rPr>
                <w:rFonts w:ascii="Times New Roman" w:hAnsi="Times New Roman"/>
                <w:sz w:val="20"/>
              </w:rPr>
              <w:t>Anmerkung</w:t>
            </w:r>
          </w:p>
        </w:tc>
        <w:tc>
          <w:tcPr>
            <w:tcW w:type="dxa" w:w="3024"/>
          </w:tcPr>
          <w:p>
            <w:r>
              <w:rPr>
                <w:rFonts w:ascii="Times New Roman" w:hAnsi="Times New Roman"/>
                <w:sz w:val="20"/>
              </w:rPr>
              <w:t>Kombination Inhaberentnahme + Gehalt PartGmbB, variabel</w:t>
            </w:r>
          </w:p>
        </w:tc>
        <w:tc>
          <w:tcPr>
            <w:tcW w:type="dxa" w:w="3024"/>
          </w:tcPr>
          <w:p>
            <w:r>
              <w:rPr>
                <w:rFonts w:ascii="Times New Roman" w:hAnsi="Times New Roman"/>
                <w:sz w:val="20"/>
              </w:rPr>
              <w:t>Entnahme e.K., muss durch Unterlagen belegt werden</w:t>
            </w:r>
          </w:p>
        </w:tc>
      </w:tr>
    </w:tbl>
    <w:p>
      <w:pPr>
        <w:jc w:val="left"/>
      </w:pPr>
      <w:r>
        <w:t>Differenz: 8.400 − 3.100 = 5.300 EUR/Monat.</w:t>
      </w:r>
    </w:p>
    <w:p/>
    <w:p>
      <w:pPr>
        <w:pStyle w:val="Heading2"/>
      </w:pPr>
      <w:r>
        <w:rPr>
          <w:rFonts w:ascii="Times New Roman" w:hAnsi="Times New Roman"/>
        </w:rPr>
        <w:t>4. Berechnung Trennungsunterhalt (Grundmethode)</w:t>
      </w:r>
    </w:p>
    <w:p>
      <w:pPr>
        <w:jc w:val="left"/>
      </w:pPr>
      <w:r>
        <w:rPr>
          <w:b/>
        </w:rPr>
        <w:t>Methode nach ehelichen Lebensverhältnissen:</w:t>
      </w:r>
    </w:p>
    <w:p>
      <w:pPr>
        <w:jc w:val="left"/>
      </w:pPr>
      <w:r>
        <w:t>Gesamteinkommen: 8.400 + 3.100 = 11.500 EUR.</w:t>
      </w:r>
    </w:p>
    <w:p>
      <w:pPr>
        <w:jc w:val="left"/>
      </w:pPr>
      <w:r>
        <w:t>Bedarfsgrundsatz: 3/7 der Einkommensdifferenz (vereinfachte BGH-Methode; exakt: ggf. individuelle Quotenmethode).</w:t>
      </w:r>
    </w:p>
    <w:p>
      <w:pPr>
        <w:jc w:val="left"/>
      </w:pPr>
      <w:r>
        <w:t xml:space="preserve">Trennungsunterhalt Franz: 3/7 × (8.400 − 3.100) = 3/7 × 5.300 = ca. </w:t>
      </w:r>
      <w:r>
        <w:rPr>
          <w:b/>
        </w:rPr>
        <w:t>2.271 EUR/Monat</w:t>
      </w:r>
      <w:r>
        <w:t>.</w:t>
      </w:r>
    </w:p>
    <w:p>
      <w:pPr>
        <w:jc w:val="left"/>
      </w:pPr>
      <w:r>
        <w:t>Vom Bedarfsbetrag sind Franz' eigenes Einkommen abzuziehen (Eigenbedarfsdeckung):</w:t>
      </w:r>
    </w:p>
    <w:p>
      <w:pPr>
        <w:jc w:val="left"/>
      </w:pPr>
      <w:r>
        <w:t>Bedarf Franz: ½ (Hanna + Franz) × Sättigungsquote? — Hier ist die konkrete Berechnung entscheidend. Standardmethode: Ausgangsbedarfsbetrag von Franz' Seite = 3/7 × Differenz der bereinigten Einkommen.</w:t>
      </w:r>
    </w:p>
    <w:p>
      <w:pPr>
        <w:jc w:val="left"/>
      </w:pPr>
      <w:r>
        <w:rPr>
          <w:b/>
        </w:rPr>
        <w:t>Vereinfachte Nettomethode:</w:t>
      </w:r>
    </w:p>
    <w:tbl>
      <w:tblPr>
        <w:tblStyle w:val="TableGrid"/>
        <w:tblW w:type="auto" w:w="0"/>
        <w:tblLook w:firstColumn="1" w:firstRow="1" w:lastColumn="0" w:lastRow="0" w:noHBand="0" w:noVBand="1" w:val="04A0"/>
      </w:tblPr>
      <w:tblGrid>
        <w:gridCol w:w="4536"/>
        <w:gridCol w:w="4536"/>
      </w:tblGrid>
      <w:tr>
        <w:tc>
          <w:tcPr>
            <w:tcW w:type="dxa" w:w="4536"/>
          </w:tcPr>
          <w:p/>
        </w:tc>
        <w:tc>
          <w:tcPr>
            <w:tcW w:type="dxa" w:w="4536"/>
          </w:tcPr>
          <w:p>
            <w:r>
              <w:rPr>
                <w:rFonts w:ascii="Times New Roman" w:hAnsi="Times New Roman"/>
                <w:b/>
                <w:sz w:val="20"/>
              </w:rPr>
              <w:t>EUR</w:t>
            </w:r>
          </w:p>
        </w:tc>
      </w:tr>
      <w:tr>
        <w:tc>
          <w:tcPr>
            <w:tcW w:type="dxa" w:w="4536"/>
          </w:tcPr>
          <w:p>
            <w:r>
              <w:rPr>
                <w:rFonts w:ascii="Times New Roman" w:hAnsi="Times New Roman"/>
                <w:sz w:val="20"/>
              </w:rPr>
              <w:t>Hanna netto bereinigt</w:t>
            </w:r>
          </w:p>
        </w:tc>
        <w:tc>
          <w:tcPr>
            <w:tcW w:type="dxa" w:w="4536"/>
          </w:tcPr>
          <w:p>
            <w:r>
              <w:rPr>
                <w:rFonts w:ascii="Times New Roman" w:hAnsi="Times New Roman"/>
                <w:sz w:val="20"/>
              </w:rPr>
              <w:t>8.400</w:t>
            </w:r>
          </w:p>
        </w:tc>
      </w:tr>
      <w:tr>
        <w:tc>
          <w:tcPr>
            <w:tcW w:type="dxa" w:w="4536"/>
          </w:tcPr>
          <w:p>
            <w:r>
              <w:rPr>
                <w:rFonts w:ascii="Times New Roman" w:hAnsi="Times New Roman"/>
                <w:sz w:val="20"/>
              </w:rPr>
              <w:t>Franz netto bereinigt</w:t>
            </w:r>
          </w:p>
        </w:tc>
        <w:tc>
          <w:tcPr>
            <w:tcW w:type="dxa" w:w="4536"/>
          </w:tcPr>
          <w:p>
            <w:r>
              <w:rPr>
                <w:rFonts w:ascii="Times New Roman" w:hAnsi="Times New Roman"/>
                <w:sz w:val="20"/>
              </w:rPr>
              <w:t>3.100</w:t>
            </w:r>
          </w:p>
        </w:tc>
      </w:tr>
      <w:tr>
        <w:tc>
          <w:tcPr>
            <w:tcW w:type="dxa" w:w="4536"/>
          </w:tcPr>
          <w:p>
            <w:r>
              <w:rPr>
                <w:rFonts w:ascii="Times New Roman" w:hAnsi="Times New Roman"/>
                <w:sz w:val="20"/>
              </w:rPr>
              <w:t>Differenz</w:t>
            </w:r>
          </w:p>
        </w:tc>
        <w:tc>
          <w:tcPr>
            <w:tcW w:type="dxa" w:w="4536"/>
          </w:tcPr>
          <w:p>
            <w:r>
              <w:rPr>
                <w:rFonts w:ascii="Times New Roman" w:hAnsi="Times New Roman"/>
                <w:sz w:val="20"/>
              </w:rPr>
              <w:t>5.300</w:t>
            </w:r>
          </w:p>
        </w:tc>
      </w:tr>
      <w:tr>
        <w:tc>
          <w:tcPr>
            <w:tcW w:type="dxa" w:w="4536"/>
          </w:tcPr>
          <w:p>
            <w:r>
              <w:rPr>
                <w:rFonts w:ascii="Times New Roman" w:hAnsi="Times New Roman"/>
                <w:sz w:val="20"/>
              </w:rPr>
              <w:t>3/7 der Differenz</w:t>
            </w:r>
          </w:p>
        </w:tc>
        <w:tc>
          <w:tcPr>
            <w:tcW w:type="dxa" w:w="4536"/>
          </w:tcPr>
          <w:p>
            <w:r>
              <w:rPr>
                <w:rFonts w:ascii="Times New Roman" w:hAnsi="Times New Roman"/>
                <w:sz w:val="20"/>
              </w:rPr>
              <w:t>2.271</w:t>
            </w:r>
          </w:p>
        </w:tc>
      </w:tr>
      <w:tr>
        <w:tc>
          <w:tcPr>
            <w:tcW w:type="dxa" w:w="4536"/>
          </w:tcPr>
          <w:p>
            <w:r>
              <w:rPr>
                <w:rFonts w:ascii="Times New Roman" w:hAnsi="Times New Roman"/>
                <w:sz w:val="20"/>
              </w:rPr>
              <w:t>Franz-Unterhaltsbetrag (ggf. gerundet)</w:t>
            </w:r>
          </w:p>
        </w:tc>
        <w:tc>
          <w:tcPr>
            <w:tcW w:type="dxa" w:w="4536"/>
          </w:tcPr>
          <w:p>
            <w:r>
              <w:rPr>
                <w:rFonts w:ascii="Times New Roman" w:hAnsi="Times New Roman"/>
                <w:b/>
                <w:sz w:val="20"/>
              </w:rPr>
              <w:t>ca. 2.270 EUR/Monat</w:t>
            </w:r>
          </w:p>
        </w:tc>
      </w:tr>
    </w:tbl>
    <w:p>
      <w:pPr>
        <w:jc w:val="left"/>
      </w:pPr>
      <w:r>
        <w:rPr>
          <w:b/>
        </w:rPr>
        <w:t>Hinweis:</w:t>
      </w:r>
      <w:r>
        <w:t xml:space="preserve"> Diese Berechnung ist vorläufig und vereinfacht. Sie berücksichtigt noch nicht: Selbstständigenkorrektur Hannas Einkommen, Steuerbelastung, Kindesunterhaltszahlungen Franz' (Vorwegabzug), Abzüge Erwerbstätigkeitsfreibetrag.</w:t>
      </w:r>
    </w:p>
    <w:p/>
    <w:p>
      <w:pPr>
        <w:pStyle w:val="Heading2"/>
      </w:pPr>
      <w:r>
        <w:rPr>
          <w:rFonts w:ascii="Times New Roman" w:hAnsi="Times New Roman"/>
        </w:rPr>
        <w:t>5. Erwerbsobliegenheit Franz'</w:t>
      </w:r>
    </w:p>
    <w:p>
      <w:pPr>
        <w:jc w:val="left"/>
      </w:pPr>
      <w:r>
        <w:t>Franz ist seit 2018 selbstständig. Es stellt sich die Frage, ob seine Einnahmen von ca. 3.100 EUR/Monat dem tatsächlich Erzielbaren entsprechen.</w:t>
      </w:r>
    </w:p>
    <w:p>
      <w:pPr>
        <w:jc w:val="left"/>
      </w:pPr>
      <w:r>
        <w:rPr>
          <w:b/>
        </w:rPr>
        <w:t>Erwerbsobliegenheit:</w:t>
      </w:r>
      <w:r>
        <w:t xml:space="preserve"> Auch gegenüber dem Ehegatten gilt während der Trennungszeit eine Erwerbsobliegenheit (§ 1361 Abs. 2 BGB): Franz muss die nach seinen Verhältnissen zumutbare Erwerbstätigkeit ausüben und sein Einkommen nicht künstlich kleinhalten.</w:t>
      </w:r>
    </w:p>
    <w:p>
      <w:pPr>
        <w:jc w:val="left"/>
      </w:pPr>
      <w:r>
        <w:t>Wenn Franz als Unternehmer die Entnahmen absichtlich niedrig hält (z.B. durch erhöhte Rücklagen, hohe Abschreibungen oder verschobene Rechnungsstellung), kann das Gericht ein zurechenbares Einkommen ansetzen. Das erfordert jedoch eine detaillierte Analyse der Jahresabschlüsse.</w:t>
      </w:r>
    </w:p>
    <w:p>
      <w:pPr>
        <w:jc w:val="left"/>
      </w:pPr>
      <w:r>
        <w:t>Die Kanzlei hat Franz über RAin Ganzhorn aufgefordert, Jahresabschlüsse 2022–2024 vorzulegen. Diese sind noch nicht vollständig eingegangen.</w:t>
      </w:r>
    </w:p>
    <w:p/>
    <w:p>
      <w:pPr>
        <w:pStyle w:val="Heading2"/>
      </w:pPr>
      <w:r>
        <w:rPr>
          <w:rFonts w:ascii="Times New Roman" w:hAnsi="Times New Roman"/>
        </w:rPr>
        <w:t>6. Kindesunterhalt als Vorwegabzug</w:t>
      </w:r>
    </w:p>
    <w:p>
      <w:pPr>
        <w:jc w:val="left"/>
      </w:pPr>
      <w:r>
        <w:t>Franz zahlt bislang keinen Kindesunterhalt; Hanna trägt den Unterhalt durch Naturalunterhalt. Sobald Kindesunterhalt formell geltend gemacht wird (Stichtag voraussichtlich Jan. 2026), reduziert sich Franz' bereinigtes Nettoeinkommen für die Trennungsunterhaltsberechnung um den Kindesunterhalt als Vorwegabzug.</w:t>
      </w:r>
    </w:p>
    <w:p>
      <w:pPr>
        <w:jc w:val="left"/>
      </w:pPr>
      <w:r>
        <w:t>Beispiel:</w:t>
      </w:r>
    </w:p>
    <w:p>
      <w:pPr>
        <w:pStyle w:val="ListBullet"/>
      </w:pPr>
      <w:r>
        <w:t>Franz' Nettoeinkommen nach Selbstbehalt: ca. 2.813 EUR</w:t>
      </w:r>
    </w:p>
    <w:p>
      <w:pPr>
        <w:pStyle w:val="ListBullet"/>
      </w:pPr>
      <w:r>
        <w:t>Kindesunterhalt gesamt (drei Kinder): ca. 1.420 EUR (vorläufig)</w:t>
      </w:r>
    </w:p>
    <w:p>
      <w:pPr>
        <w:pStyle w:val="ListBullet"/>
      </w:pPr>
      <w:r>
        <w:t>Verbleibendes Einkommen nach Kindesunterhalt: ca. 1.393 EUR</w:t>
      </w:r>
    </w:p>
    <w:p>
      <w:pPr>
        <w:pStyle w:val="ListBullet"/>
      </w:pPr>
      <w:r>
        <w:t>Trennungsunterhalt wäre dann begrenzt auf den Differenzbetrag gegenüber Hannas Einkommen.</w:t>
      </w:r>
    </w:p>
    <w:p>
      <w:pPr>
        <w:jc w:val="left"/>
      </w:pPr>
      <w:r>
        <w:t>Dies würde den Trennungsunterhalt erheblich reduzieren oder im Mangelfall auf null setzen.</w:t>
      </w:r>
    </w:p>
    <w:p/>
    <w:p>
      <w:pPr>
        <w:pStyle w:val="Heading2"/>
      </w:pPr>
      <w:r>
        <w:rPr>
          <w:rFonts w:ascii="Times New Roman" w:hAnsi="Times New Roman"/>
        </w:rPr>
        <w:t>7. Zeitliche Begrenzung</w:t>
      </w:r>
    </w:p>
    <w:p>
      <w:pPr>
        <w:jc w:val="left"/>
      </w:pPr>
      <w:r>
        <w:t>Trennungsunterhalt gilt nur bis zur rechtskräftigen Scheidung. Ab Scheidung gilt nachehelicher Unterhalt nach § 1569 ff. BGB. Zum jetzigen Zeitpunkt ist noch kein nachehelicher Unterhalt zu berechnen.</w:t>
      </w:r>
    </w:p>
    <w:p/>
    <w:p>
      <w:pPr>
        <w:pStyle w:val="Heading2"/>
      </w:pPr>
      <w:r>
        <w:rPr>
          <w:rFonts w:ascii="Times New Roman" w:hAnsi="Times New Roman"/>
        </w:rPr>
        <w:t>8. Strategische Lage</w:t>
      </w:r>
    </w:p>
    <w:p>
      <w:pPr>
        <w:jc w:val="left"/>
      </w:pPr>
      <w:r>
        <w:t>Hanna ist finanziell in der stärkeren Position. Ein Trennungsunterhaltsanspruch Franz' ist dem Grunde nach gegeben und würde voraussichtlich zwischen 700 und 1.800 EUR/Monat liegen (je nach genauerer Ermittlung beider Einkommen und nach Abzug Kindesunterhalt).</w:t>
      </w:r>
    </w:p>
    <w:p>
      <w:pPr>
        <w:jc w:val="left"/>
      </w:pPr>
      <w:r>
        <w:t>Hanna sollte dies frühzeitig in ihre Liquiditätsplanung einkalkulieren. Eine einvernehmliche Regelung (monatlicher Zahlungsbetrag ohne langwieriges Verfahren) ist sinnvoller als eine streitige Durchsetzung, die Anwalts- und Verfahrenskosten produziert.</w:t>
      </w:r>
    </w:p>
    <w:p>
      <w:pPr>
        <w:jc w:val="left"/>
      </w:pPr>
      <w:r>
        <w:t>Umgekehrt hat Hanna Interesse daran, den genauen Unterhaltsrahmen zu begrenzen: Vollständige Offenlegung von Franz' Einkommen, kritische Prüfung der Unternehmensbilanzen, Nachweis zurechenbarer Mehrerträge. Der Wirtschaftsgutachter (WP Dreschler) sollte auch zu Franz' Entnahmeverhalten befragt werden.</w:t>
      </w:r>
    </w:p>
    <w:p>
      <w:pPr>
        <w:jc w:val="left"/>
      </w:pPr>
      <w:r>
        <w:t>Detaillierte Berechnung: XLSX Aktenstück 14.</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