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Versorgungsausgleich — Versorgungswerk und GRV</w:t>
      </w:r>
    </w:p>
    <w:p>
      <w:pPr>
        <w:jc w:val="left"/>
      </w:pPr>
      <w:r>
        <w:t>Stand: September 2025</w:t>
      </w:r>
    </w:p>
    <w:p>
      <w:pPr>
        <w:jc w:val="left"/>
      </w:pPr>
      <w:r>
        <w:t>Bearbeiterin: RAin Dr. Friederike Pohl-Krauss</w:t>
      </w:r>
    </w:p>
    <w:p/>
    <w:p>
      <w:pPr>
        <w:pStyle w:val="Heading2"/>
      </w:pPr>
      <w:r>
        <w:rPr>
          <w:rFonts w:ascii="Times New Roman" w:hAnsi="Times New Roman"/>
        </w:rPr>
        <w:t>1. Überblick</w:t>
      </w:r>
    </w:p>
    <w:p>
      <w:pPr>
        <w:jc w:val="left"/>
      </w:pPr>
      <w:r>
        <w:t>Der Versorgungsausgleich (§§ 1 ff. VersAusglG) ist von Amts wegen durchzuführen, sobald der Scheidungsantrag gestellt wird. Das Familiengericht teilt die während der Ehezeit erworbenen Versorgungsanwartschaften beider Ehegatten auf. Ziel ist eine hälftige Teilung.</w:t>
      </w:r>
    </w:p>
    <w:p>
      <w:pPr>
        <w:jc w:val="left"/>
      </w:pPr>
      <w:r>
        <w:t>Ehezeit im Sinne des VersAusglG: 01.08.2008 bis 31.01.2026 (Ende des Monats vor Antragstellung, voraussichtlich).</w:t>
      </w:r>
    </w:p>
    <w:p>
      <w:pPr>
        <w:jc w:val="left"/>
      </w:pPr>
      <w:r>
        <w:t>Beide Ehegatten haben Anwartschaften erworben. Die Konstellation ist komplex, weil Hanna über das Versorgungswerk der Architektenkammer Niedersachsen (AKNS) erhebliche Anwartschaften aufgebaut hat.</w:t>
      </w:r>
    </w:p>
    <w:p/>
    <w:p>
      <w:pPr>
        <w:pStyle w:val="Heading2"/>
      </w:pPr>
      <w:r>
        <w:rPr>
          <w:rFonts w:ascii="Times New Roman" w:hAnsi="Times New Roman"/>
        </w:rPr>
        <w:t>2. Anwartschaften Hanna Trüffelberch</w:t>
      </w:r>
    </w:p>
    <w:p>
      <w:pPr>
        <w:pStyle w:val="Heading3"/>
      </w:pPr>
      <w:r>
        <w:rPr>
          <w:rFonts w:ascii="Times New Roman" w:hAnsi="Times New Roman"/>
        </w:rPr>
        <w:t>2.1 Gesetzliche Rentenversicherung (GRV)</w:t>
      </w:r>
    </w:p>
    <w:p>
      <w:pPr>
        <w:jc w:val="left"/>
      </w:pPr>
      <w:r>
        <w:t>Hanna hat vor 2008 in der GRV (Deutsche Rentenversicherung Bund) Beitragszeiten gesammelt. Ab Eintritt in die Partnerschaft mit der AKNS-Kammer ist sie in das Versorgungswerk gewechselt; Befreiung von der GRV-Pflicht nach § 6 Abs. 1 SGB VI.</w:t>
      </w:r>
    </w:p>
    <w:p>
      <w:pPr>
        <w:jc w:val="left"/>
      </w:pPr>
      <w:r>
        <w:t>Vorläufige Einschätzung: GRV-Anwartschaft Hanna ist gering (Beschäftigung vor 2008 ca. 4 Jahre). Vorabauskunft DRV noch nicht angefordert; wird mit Einreichung des Scheidungsantrags durch das Gericht automatisch angefordert.</w:t>
      </w:r>
    </w:p>
    <w:p>
      <w:pPr>
        <w:pStyle w:val="Heading3"/>
      </w:pPr>
      <w:r>
        <w:rPr>
          <w:rFonts w:ascii="Times New Roman" w:hAnsi="Times New Roman"/>
        </w:rPr>
        <w:t>2.2 Versorgungswerk Architektenkammer Niedersachsen (AKNS)</w:t>
      </w:r>
    </w:p>
    <w:p>
      <w:pPr>
        <w:jc w:val="left"/>
      </w:pPr>
      <w:r>
        <w:t>Die AKNS unterhält ein eigenes berufsständisches Versorgungswerk (ö.R.). Mitgliedspflicht für alle in Niedersachsen zugelassenen Architekten. Hanna ist seit ca. 2005/2006 pflichtmitglied.</w:t>
      </w:r>
    </w:p>
    <w:p>
      <w:pPr>
        <w:jc w:val="left"/>
      </w:pPr>
      <w:r>
        <w:t xml:space="preserve">Anwartschaft: Noch nicht exakt beziffert. Das Versorgungswerk hat auf Antrag eine Vorabauskunft nach § 5 VersAusglG erteilt (PDF-Anlage: </w:t>
      </w:r>
      <w:r>
        <w:t>pdfs/auskunft_versorgungswerk_architektenkammer.pdf</w:t>
      </w:r>
      <w:r>
        <w:t>).</w:t>
      </w:r>
    </w:p>
    <w:p>
      <w:pPr>
        <w:jc w:val="left"/>
      </w:pPr>
      <w:r>
        <w:rPr>
          <w:b/>
        </w:rPr>
        <w:t>Inhalt der Vorabauskunft (Zusammenfassung lt. Anlage):</w:t>
      </w:r>
    </w:p>
    <w:p>
      <w:pPr>
        <w:pStyle w:val="ListBullet"/>
      </w:pPr>
      <w:r>
        <w:t>Voraussichtliche Altersrente bei Regelaltersgrenze 67: 2.847 EUR/Monat (brutto).</w:t>
      </w:r>
    </w:p>
    <w:p>
      <w:pPr>
        <w:pStyle w:val="ListBullet"/>
      </w:pPr>
      <w:r>
        <w:t>Ehezeitanteil (01.08.2008 bis 31.01.2026 voraussichtlich): 2.143 EUR/Monat.</w:t>
      </w:r>
    </w:p>
    <w:p>
      <w:pPr>
        <w:pStyle w:val="ListBullet"/>
      </w:pPr>
      <w:r>
        <w:t>Kapitalwert nach interner Bewertung des Versorgungswerks: ca. 398.000 EUR.</w:t>
      </w:r>
    </w:p>
    <w:p>
      <w:pPr>
        <w:jc w:val="left"/>
      </w:pPr>
      <w:r>
        <w:t>Hinweis: Die Vorabauskunft des Versorgungswerks ist nach § 5 VersAusglG bindend für die interne Teilung. Das Gericht hat keinen Ermessensspielraum bei der Übernahme des Ehezeitanteils; es teilt diesen hälftig.</w:t>
      </w:r>
    </w:p>
    <w:p>
      <w:pPr>
        <w:pStyle w:val="Heading3"/>
      </w:pPr>
      <w:r>
        <w:rPr>
          <w:rFonts w:ascii="Times New Roman" w:hAnsi="Times New Roman"/>
        </w:rPr>
        <w:t>2.3 BAV (Betriebliche Altersversorgung)</w:t>
      </w:r>
    </w:p>
    <w:p>
      <w:pPr>
        <w:jc w:val="left"/>
      </w:pPr>
      <w:r>
        <w:t>Hanna hat über die PartGmbB keine gesonderte Betriebsrente abgeschlossen. Die Altersversorgung läuft vollständig über das Versorgungswerk. (Korrektur der Erstgesprächsnotiz: Hanna hatte irrtümlich von einer BAV gesprochen; tatsächlich handelt es sich um das Versorgungswerk als berufsständische Versorgung, die der BAV funktional ähnlich ist, aber eigenständig geregelt wird.)</w:t>
      </w:r>
    </w:p>
    <w:p/>
    <w:p>
      <w:pPr>
        <w:pStyle w:val="Heading2"/>
      </w:pPr>
      <w:r>
        <w:rPr>
          <w:rFonts w:ascii="Times New Roman" w:hAnsi="Times New Roman"/>
        </w:rPr>
        <w:t>3. Anwartschaften Franz Trüffelberch</w:t>
      </w:r>
    </w:p>
    <w:p>
      <w:pPr>
        <w:pStyle w:val="Heading3"/>
      </w:pPr>
      <w:r>
        <w:rPr>
          <w:rFonts w:ascii="Times New Roman" w:hAnsi="Times New Roman"/>
        </w:rPr>
        <w:t>3.1 Gesetzliche Rentenversicherung</w:t>
      </w:r>
    </w:p>
    <w:p>
      <w:pPr>
        <w:jc w:val="left"/>
      </w:pPr>
      <w:r>
        <w:t>Franz ist als Inhaber eines e.K. nicht automatisch in der GRV pflichtversichert, es sei denn, er beschäftigt keine weiteren Arbeitnehmer oder ist anderweitig pflichtversichert. Als Meister und Handwerker ist er nach § 2 Nr. 8 SGB VI pflichtversichert (Rentenversicherungspflicht für Handwerker, auch als Unternehmer, für 18 Jahre).</w:t>
      </w:r>
    </w:p>
    <w:p>
      <w:pPr>
        <w:jc w:val="left"/>
      </w:pPr>
      <w:r>
        <w:t>Franz hat die Pflichtbeitragszeit von 18 Jahren (§ 6 Abs. 3 SGB VI) möglicherweise inzwischen erfüllt — genaue Prüfung erforderlich. Wenn die Pflichtversicherungszeit abgelaufen ist, kann er sich befreien lassen oder freiwillig weiterversichern. DRV-Auskunft noch nicht vorliegend.</w:t>
      </w:r>
    </w:p>
    <w:p>
      <w:pPr>
        <w:jc w:val="left"/>
      </w:pPr>
      <w:r>
        <w:t>GRV-Anwartschaft Franz: Franz war von 1998 bis 2018 (ca. 20 Jahre) angestellt tätig und hat GRV-Beiträge gezahlt. Dazu kommen die Jahre als Selbstständiger (mit Pflichtbeiträgen). Voraussichtlich erhebliche GRV-Anwartschaft.</w:t>
      </w:r>
    </w:p>
    <w:p>
      <w:pPr>
        <w:pStyle w:val="Heading3"/>
      </w:pPr>
      <w:r>
        <w:rPr>
          <w:rFonts w:ascii="Times New Roman" w:hAnsi="Times New Roman"/>
        </w:rPr>
        <w:t>3.2 Private Altersvorsorge</w:t>
      </w:r>
    </w:p>
    <w:p>
      <w:pPr>
        <w:jc w:val="left"/>
      </w:pPr>
      <w:r>
        <w:t>Franz hat nach Angabe von RAin Ganzhorn (Schreiben April 2025) eine private Rentenversicherung (Lebensversicherung Allianz, Versicherungsscheinnummer noch nicht übermittelt). Aktuelle Rückkaufwert und Anwartschaft: ausstehend.</w:t>
      </w:r>
    </w:p>
    <w:p/>
    <w:p>
      <w:pPr>
        <w:pStyle w:val="Heading2"/>
      </w:pPr>
      <w:r>
        <w:rPr>
          <w:rFonts w:ascii="Times New Roman" w:hAnsi="Times New Roman"/>
        </w:rPr>
        <w:t>4. Externe vs. Interne Teilung</w:t>
      </w:r>
    </w:p>
    <w:p>
      <w:pPr>
        <w:jc w:val="left"/>
      </w:pPr>
      <w:r>
        <w:t>Das VersAusglG kennt zwei Teilungsmethoden:</w:t>
      </w:r>
    </w:p>
    <w:p>
      <w:pPr>
        <w:jc w:val="left"/>
      </w:pPr>
      <w:r>
        <w:rPr>
          <w:b/>
        </w:rPr>
        <w:t>Interne Teilung (Regelfall, § 10 VersAusglG):</w:t>
      </w:r>
      <w:r>
        <w:t xml:space="preserve"> Der ausgleichsberechtigte Ehegatte erhält beim Versorgungsträger ein eigenes Versorgungskonto in Höhe des hälftigen Ehezeitanteils. Der ausgleichspflichtige Ehegatte verliert diese Hälfte.</w:t>
      </w:r>
    </w:p>
    <w:p>
      <w:pPr>
        <w:jc w:val="left"/>
      </w:pPr>
      <w:r>
        <w:rPr>
          <w:b/>
        </w:rPr>
        <w:t>Externe Teilung (Ausnahme, § 14 VersAusglG):</w:t>
      </w:r>
      <w:r>
        <w:t xml:space="preserve"> Der Versorgungsträger zahlt einen Kapitalwert aus, der beim Gericht oder einem anderen Versorgungsträger hinterlegt wird. Nur zulässig bei Einvernehmen des ausgleichsberechtigten Ehegatten und bei Kleinstanwartschaften (Kapitalwert &lt; 3.864 EUR, sog. Bagatellgrenze nach § 18 VersAusglG) oder auf Antrag bei bestimmten Versorgungsträgern.</w:t>
      </w:r>
    </w:p>
    <w:p>
      <w:pPr>
        <w:jc w:val="left"/>
      </w:pPr>
      <w:r>
        <w:rPr>
          <w:b/>
        </w:rPr>
        <w:t>Für das AKNS-Versorgungswerk:</w:t>
      </w:r>
      <w:r>
        <w:t xml:space="preserve"> Das Versorgungswerk Niedersachsen-Architektenkammer sieht in seiner Satzung die interne Teilung vor. Das bedeutet: Franz erhält bei der AKNS ein Rentenkonto in Höhe des hälftigen Ehezeitanteils — also ca. 1.071 EUR/Monat als spätere Rentenanwartschaft. Ob das AKNS externe Teilung akzeptiert: Satzungsprüfung steht aus.</w:t>
      </w:r>
    </w:p>
    <w:p/>
    <w:p>
      <w:pPr>
        <w:pStyle w:val="Heading2"/>
      </w:pPr>
      <w:r>
        <w:rPr>
          <w:rFonts w:ascii="Times New Roman" w:hAnsi="Times New Roman"/>
        </w:rPr>
        <w:t>5. Vorabauskunft und weiteres Verfahren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Versorgungsträger</w:t>
            </w:r>
          </w:p>
        </w:tc>
        <w:tc>
          <w:tcPr>
            <w:tcW w:type="dxa" w:w="2268"/>
          </w:tcPr>
          <w:p>
            <w:r>
              <w:rPr>
                <w:rFonts w:ascii="Times New Roman" w:hAnsi="Times New Roman"/>
                <w:b/>
                <w:sz w:val="20"/>
              </w:rPr>
              <w:t>Inhaber</w:t>
            </w:r>
          </w:p>
        </w:tc>
        <w:tc>
          <w:tcPr>
            <w:tcW w:type="dxa" w:w="2268"/>
          </w:tcPr>
          <w:p>
            <w:r>
              <w:rPr>
                <w:rFonts w:ascii="Times New Roman" w:hAnsi="Times New Roman"/>
                <w:b/>
                <w:sz w:val="20"/>
              </w:rPr>
              <w:t>Vorabauskunft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DRV Bund</w:t>
            </w:r>
          </w:p>
        </w:tc>
        <w:tc>
          <w:tcPr>
            <w:tcW w:type="dxa" w:w="2268"/>
          </w:tcPr>
          <w:p>
            <w:r>
              <w:rPr>
                <w:rFonts w:ascii="Times New Roman" w:hAnsi="Times New Roman"/>
                <w:sz w:val="20"/>
              </w:rPr>
              <w:t>Hanna</w:t>
            </w:r>
          </w:p>
        </w:tc>
        <w:tc>
          <w:tcPr>
            <w:tcW w:type="dxa" w:w="2268"/>
          </w:tcPr>
          <w:p>
            <w:r>
              <w:rPr>
                <w:rFonts w:ascii="Times New Roman" w:hAnsi="Times New Roman"/>
                <w:sz w:val="20"/>
              </w:rPr>
              <w:t>noch nicht</w:t>
            </w:r>
          </w:p>
        </w:tc>
        <w:tc>
          <w:tcPr>
            <w:tcW w:type="dxa" w:w="2268"/>
          </w:tcPr>
          <w:p>
            <w:r>
              <w:rPr>
                <w:rFonts w:ascii="Times New Roman" w:hAnsi="Times New Roman"/>
                <w:sz w:val="20"/>
              </w:rPr>
              <w:t>mit Scheidungsantrag angefordert</w:t>
            </w:r>
          </w:p>
        </w:tc>
      </w:tr>
      <w:tr>
        <w:tc>
          <w:tcPr>
            <w:tcW w:type="dxa" w:w="2268"/>
          </w:tcPr>
          <w:p>
            <w:r>
              <w:rPr>
                <w:rFonts w:ascii="Times New Roman" w:hAnsi="Times New Roman"/>
                <w:sz w:val="20"/>
              </w:rPr>
              <w:t>AKNS-Versorgungswerk</w:t>
            </w:r>
          </w:p>
        </w:tc>
        <w:tc>
          <w:tcPr>
            <w:tcW w:type="dxa" w:w="2268"/>
          </w:tcPr>
          <w:p>
            <w:r>
              <w:rPr>
                <w:rFonts w:ascii="Times New Roman" w:hAnsi="Times New Roman"/>
                <w:sz w:val="20"/>
              </w:rPr>
              <w:t>Hanna</w:t>
            </w:r>
          </w:p>
        </w:tc>
        <w:tc>
          <w:tcPr>
            <w:tcW w:type="dxa" w:w="2268"/>
          </w:tcPr>
          <w:p>
            <w:r>
              <w:rPr>
                <w:rFonts w:ascii="Times New Roman" w:hAnsi="Times New Roman"/>
                <w:sz w:val="20"/>
              </w:rPr>
              <w:t>vorliegend</w:t>
            </w:r>
          </w:p>
        </w:tc>
        <w:tc>
          <w:tcPr>
            <w:tcW w:type="dxa" w:w="2268"/>
          </w:tcPr>
          <w:p>
            <w:r>
              <w:rPr>
                <w:rFonts w:ascii="Times New Roman" w:hAnsi="Times New Roman"/>
                <w:sz w:val="20"/>
              </w:rPr>
              <w:t>PDF-Anlage</w:t>
            </w:r>
          </w:p>
        </w:tc>
      </w:tr>
      <w:tr>
        <w:tc>
          <w:tcPr>
            <w:tcW w:type="dxa" w:w="2268"/>
          </w:tcPr>
          <w:p>
            <w:r>
              <w:rPr>
                <w:rFonts w:ascii="Times New Roman" w:hAnsi="Times New Roman"/>
                <w:sz w:val="20"/>
              </w:rPr>
              <w:t>DRV Bund</w:t>
            </w:r>
          </w:p>
        </w:tc>
        <w:tc>
          <w:tcPr>
            <w:tcW w:type="dxa" w:w="2268"/>
          </w:tcPr>
          <w:p>
            <w:r>
              <w:rPr>
                <w:rFonts w:ascii="Times New Roman" w:hAnsi="Times New Roman"/>
                <w:sz w:val="20"/>
              </w:rPr>
              <w:t>Franz</w:t>
            </w:r>
          </w:p>
        </w:tc>
        <w:tc>
          <w:tcPr>
            <w:tcW w:type="dxa" w:w="2268"/>
          </w:tcPr>
          <w:p>
            <w:r>
              <w:rPr>
                <w:rFonts w:ascii="Times New Roman" w:hAnsi="Times New Roman"/>
                <w:sz w:val="20"/>
              </w:rPr>
              <w:t>noch nicht</w:t>
            </w:r>
          </w:p>
        </w:tc>
        <w:tc>
          <w:tcPr>
            <w:tcW w:type="dxa" w:w="2268"/>
          </w:tcPr>
          <w:p>
            <w:r>
              <w:rPr>
                <w:rFonts w:ascii="Times New Roman" w:hAnsi="Times New Roman"/>
                <w:sz w:val="20"/>
              </w:rPr>
              <w:t>mit Scheidungsantrag angefordert</w:t>
            </w:r>
          </w:p>
        </w:tc>
      </w:tr>
      <w:tr>
        <w:tc>
          <w:tcPr>
            <w:tcW w:type="dxa" w:w="2268"/>
          </w:tcPr>
          <w:p>
            <w:r>
              <w:rPr>
                <w:rFonts w:ascii="Times New Roman" w:hAnsi="Times New Roman"/>
                <w:sz w:val="20"/>
              </w:rPr>
              <w:t>Allianz (priv. LV)</w:t>
            </w:r>
          </w:p>
        </w:tc>
        <w:tc>
          <w:tcPr>
            <w:tcW w:type="dxa" w:w="2268"/>
          </w:tcPr>
          <w:p>
            <w:r>
              <w:rPr>
                <w:rFonts w:ascii="Times New Roman" w:hAnsi="Times New Roman"/>
                <w:sz w:val="20"/>
              </w:rPr>
              <w:t>Franz</w:t>
            </w:r>
          </w:p>
        </w:tc>
        <w:tc>
          <w:tcPr>
            <w:tcW w:type="dxa" w:w="2268"/>
          </w:tcPr>
          <w:p>
            <w:r>
              <w:rPr>
                <w:rFonts w:ascii="Times New Roman" w:hAnsi="Times New Roman"/>
                <w:sz w:val="20"/>
              </w:rPr>
              <w:t>noch nicht</w:t>
            </w:r>
          </w:p>
        </w:tc>
        <w:tc>
          <w:tcPr>
            <w:tcW w:type="dxa" w:w="2268"/>
          </w:tcPr>
          <w:p>
            <w:r>
              <w:rPr>
                <w:rFonts w:ascii="Times New Roman" w:hAnsi="Times New Roman"/>
                <w:sz w:val="20"/>
              </w:rPr>
              <w:t>Versicherungsscheinnummer fehlt</w:t>
            </w:r>
          </w:p>
        </w:tc>
      </w:tr>
    </w:tbl>
    <w:p>
      <w:pPr>
        <w:jc w:val="left"/>
      </w:pPr>
      <w:r>
        <w:t>Das Familiengericht fordert nach Eingang des Scheidungsantrags alle Versorgungsträger automatisch an (§ 220 FamFG i.V.m. § 5 VersAusglG). Die Versorgungsträger haben 3 Monate Antwortfrist.</w:t>
      </w:r>
    </w:p>
    <w:p/>
    <w:p>
      <w:pPr>
        <w:pStyle w:val="Heading2"/>
      </w:pPr>
      <w:r>
        <w:rPr>
          <w:rFonts w:ascii="Times New Roman" w:hAnsi="Times New Roman"/>
        </w:rPr>
        <w:t>6. Möglichkeit des Ausschlusses / Abänderung</w:t>
      </w:r>
    </w:p>
    <w:p>
      <w:pPr>
        <w:jc w:val="left"/>
      </w:pPr>
      <w:r>
        <w:t>Die Parteien können den Versorgungsausgleich durch notarielle Vereinbarung ganz oder teilweise ausschließen (§ 6 VersAusglG) — entweder vor oder nach Scheidungsantrag (in letzterem Fall mit gerichtlicher Billigung). Ein vollständiger Ausschluss wäre nur zulässig, wenn das kein grob unbillig ist (§ 27 VersAusglG).</w:t>
      </w:r>
    </w:p>
    <w:p>
      <w:pPr>
        <w:jc w:val="left"/>
      </w:pPr>
      <w:r>
        <w:t>Hanna hat kein Interesse an einem Ausschluss, da sie die größere Anwartschaft aufgebaut hat und durch den Ausgleich erheblich geben würde. Franz hat dagegen Interesse, den Ausgleich zu maximieren. Es ist zu prüfen, ob ein Kompromiss (z.B. Ausgleich nur für GRV, nicht für AKNS-Versorgungswerk) verhandelbar ist.</w:t>
      </w:r>
    </w:p>
    <w:p>
      <w:pPr>
        <w:jc w:val="left"/>
      </w:pPr>
      <w:r>
        <w:t xml:space="preserve">Detaillierte Berechnung: XLSX Aktenstück </w:t>
      </w:r>
      <w:r>
        <w:t>xlsx/versorgungsausgleich_anwartschaften.xlsx</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