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Immobilie Lindener Hofstraße 47 — Bewertung und Strategie</w:t>
      </w:r>
    </w:p>
    <w:p>
      <w:pPr>
        <w:jc w:val="left"/>
      </w:pPr>
      <w:r>
        <w:t>Stand: September 2025</w:t>
      </w:r>
    </w:p>
    <w:p>
      <w:pPr>
        <w:jc w:val="left"/>
      </w:pPr>
      <w:r>
        <w:t>Bearbeiterin: RAin Dr. Friederike Pohl-Krauss / RAin Helmstedt</w:t>
      </w:r>
    </w:p>
    <w:p/>
    <w:p>
      <w:pPr>
        <w:pStyle w:val="Heading2"/>
      </w:pPr>
      <w:r>
        <w:rPr>
          <w:rFonts w:ascii="Times New Roman" w:hAnsi="Times New Roman"/>
        </w:rPr>
        <w:t>1. Objektbeschreibung</w:t>
      </w:r>
    </w:p>
    <w:p>
      <w:pPr>
        <w:jc w:val="left"/>
      </w:pPr>
      <w:r>
        <w:rPr>
          <w:b/>
        </w:rPr>
        <w:t>Objekt:</w:t>
      </w:r>
      <w:r>
        <w:t xml:space="preserve"> Einfamilienhaus, freistehendes Gebäude, Baujahr ca. 1964, Kernsanierung 2014–2015.</w:t>
      </w:r>
    </w:p>
    <w:p>
      <w:pPr>
        <w:jc w:val="left"/>
      </w:pPr>
      <w:r>
        <w:rPr>
          <w:b/>
        </w:rPr>
        <w:t>Adresse:</w:t>
      </w:r>
      <w:r>
        <w:t xml:space="preserve"> Lindener Hofstraße 47, 30449 Hannover-Linden.</w:t>
      </w:r>
    </w:p>
    <w:p>
      <w:pPr>
        <w:jc w:val="left"/>
      </w:pPr>
      <w:r>
        <w:rPr>
          <w:b/>
        </w:rPr>
        <w:t>Grundstück:</w:t>
      </w:r>
      <w:r>
        <w:t xml:space="preserve"> lt. Grundbuchauszug 384 qm.</w:t>
      </w:r>
    </w:p>
    <w:p>
      <w:pPr>
        <w:jc w:val="left"/>
      </w:pPr>
      <w:r>
        <w:rPr>
          <w:b/>
        </w:rPr>
        <w:t>Wohnfläche:</w:t>
      </w:r>
      <w:r>
        <w:t xml:space="preserve"> ca. 168 qm (5 Zimmer, 2 Bäder, Küche, Diele, kleiner Garten, Garage).</w:t>
      </w:r>
    </w:p>
    <w:p>
      <w:pPr>
        <w:jc w:val="left"/>
      </w:pPr>
      <w:r>
        <w:rPr>
          <w:b/>
        </w:rPr>
        <w:t>Eigentümer:</w:t>
      </w:r>
      <w:r>
        <w:t xml:space="preserve"> Hanna Trüffelberch und Franz Trüffelberch je 1/2 als Bruchteilsgemeinschaft.</w:t>
      </w:r>
    </w:p>
    <w:p>
      <w:pPr>
        <w:jc w:val="left"/>
      </w:pPr>
      <w:r>
        <w:rPr>
          <w:b/>
        </w:rPr>
        <w:t>Darlehen:</w:t>
      </w:r>
      <w:r>
        <w:t xml:space="preserve"> Volksbank Hannover, Kontonummer: [geschwärzt], Restschuld lt. Auszug 14.09.2025: 281.340 EUR. Kreditnehmer: beide Ehegatten als Gesamtschuldner.</w:t>
      </w:r>
    </w:p>
    <w:p/>
    <w:p>
      <w:pPr>
        <w:pStyle w:val="Heading2"/>
      </w:pPr>
      <w:r>
        <w:rPr>
          <w:rFonts w:ascii="Times New Roman" w:hAnsi="Times New Roman"/>
        </w:rPr>
        <w:t>2. Wertgutachten</w:t>
      </w:r>
    </w:p>
    <w:p>
      <w:pPr>
        <w:jc w:val="left"/>
      </w:pPr>
      <w:r>
        <w:rPr>
          <w:b/>
        </w:rPr>
        <w:t>Gutachter:</w:t>
      </w:r>
      <w:r>
        <w:t xml:space="preserve"> Dipl.-Ing. Carsten Klausberg, öffentlich bestellter und vereidigter Sachverständiger für Grundstücksbewertung, Hannover (Büro: Vahrenwalder Straße 12, 30165 Hannover). Mitglied IHK Hannover.</w:t>
      </w:r>
    </w:p>
    <w:p>
      <w:pPr>
        <w:jc w:val="left"/>
      </w:pPr>
      <w:r>
        <w:rPr>
          <w:b/>
        </w:rPr>
        <w:t>Auftrag:</w:t>
      </w:r>
      <w:r>
        <w:t xml:space="preserve"> erteilt durch RAin Helmstedt im Namen Hannas, August 2025.</w:t>
      </w:r>
    </w:p>
    <w:p>
      <w:pPr>
        <w:jc w:val="left"/>
      </w:pPr>
      <w:r>
        <w:rPr>
          <w:b/>
        </w:rPr>
        <w:t>Gutachten-Datum:</w:t>
      </w:r>
      <w:r>
        <w:t xml:space="preserve"> 10.09.2025.</w:t>
      </w:r>
    </w:p>
    <w:p>
      <w:pPr>
        <w:jc w:val="left"/>
      </w:pPr>
      <w:r>
        <w:rPr>
          <w:b/>
        </w:rPr>
        <w:t>Verkehrswert:</w:t>
      </w:r>
      <w:r>
        <w:t xml:space="preserve"> 920.000 EUR.</w:t>
      </w:r>
    </w:p>
    <w:p>
      <w:pPr>
        <w:jc w:val="left"/>
      </w:pPr>
      <w:r>
        <w:rPr>
          <w:b/>
        </w:rPr>
        <w:t>Methodik (Kurzfassung lt. Gutachten):</w:t>
      </w:r>
    </w:p>
    <w:p>
      <w:pPr>
        <w:jc w:val="left"/>
      </w:pPr>
      <w:r>
        <w:t>SV Klausberg hat das Vergleichswertverfahren angewendet. Vergleichsobjekte: sechs Vergleichsverkäufe im Stadtgebiet Linden/Limmer (Zeitraum 2023–2025), Bereinigung um Lage- und Ausstattungsunterschiede. Hannover-Linden hat in den letzten Jahren eine erhebliche Aufwertung erfahren; Vergleichswerte liegen zwischen 4.900 und 5.700 EUR/qm Wohnfläche. SV Klausberg ermittelt 5.240 EUR/qm × 168 qm ≈ 880.000 EUR, zzgl. Sonderausstattung Kernsanierung und Garagenzuschlag: 920.000 EUR.</w:t>
      </w:r>
    </w:p>
    <w:p>
      <w:pPr>
        <w:jc w:val="left"/>
      </w:pPr>
      <w:r>
        <w:t xml:space="preserve">Das vollständige Gutachten liegt als PDF-Anlage vor: </w:t>
      </w:r>
      <w:r>
        <w:t>pdfs/wertgutachten_immobilie_lindener_hofstrasse.pdf</w:t>
      </w:r>
      <w:r>
        <w:t>.</w:t>
      </w:r>
    </w:p>
    <w:p/>
    <w:p>
      <w:pPr>
        <w:pStyle w:val="Heading2"/>
      </w:pPr>
      <w:r>
        <w:rPr>
          <w:rFonts w:ascii="Times New Roman" w:hAnsi="Times New Roman"/>
        </w:rPr>
        <w:t>3. Optionen für die Immobilie</w:t>
      </w:r>
    </w:p>
    <w:p>
      <w:pPr>
        <w:pStyle w:val="Heading3"/>
      </w:pPr>
      <w:r>
        <w:rPr>
          <w:rFonts w:ascii="Times New Roman" w:hAnsi="Times New Roman"/>
        </w:rPr>
        <w:t>Option A: Hanna kauft Franz' Anteil aus</w:t>
      </w:r>
    </w:p>
    <w:p>
      <w:pPr>
        <w:jc w:val="left"/>
      </w:pPr>
      <w:r>
        <w:t>Hanna übernimmt die Immobilie allein, zahlt Franz den Wert seines hälftigen Anteils abzüglich des gemeinsamen Darlehensanteils aus.</w:t>
      </w:r>
    </w:p>
    <w:p>
      <w:pPr>
        <w:jc w:val="left"/>
      </w:pPr>
      <w:r>
        <w:t>Berechnung:</w:t>
      </w:r>
    </w:p>
    <w:p>
      <w:pPr>
        <w:pStyle w:val="ListBullet"/>
      </w:pPr>
      <w:r>
        <w:t>Gesamtwert: 920.000 EUR</w:t>
      </w:r>
    </w:p>
    <w:p>
      <w:pPr>
        <w:pStyle w:val="ListBullet"/>
      </w:pPr>
      <w:r>
        <w:t>Franz' Anteil (50 %): 460.000 EUR</w:t>
      </w:r>
    </w:p>
    <w:p>
      <w:pPr>
        <w:pStyle w:val="ListBullet"/>
      </w:pPr>
      <w:r>
        <w:t>Abzug Franz' Darlehensanteil (50 % der 281.340 EUR Restschuld): 140.670 EUR</w:t>
      </w:r>
    </w:p>
    <w:p>
      <w:pPr>
        <w:pStyle w:val="ListBullet"/>
      </w:pPr>
      <w:r>
        <w:t xml:space="preserve">Auszahlbetrag an Franz: </w:t>
      </w:r>
      <w:r>
        <w:rPr>
          <w:b/>
        </w:rPr>
        <w:t>319.330 EUR</w:t>
      </w:r>
    </w:p>
    <w:p>
      <w:pPr>
        <w:jc w:val="left"/>
      </w:pPr>
      <w:r>
        <w:t>Hanna müsste zusätzlich das Darlehen auf ihren Namen umschreiben lassen (Schuldübernahme mit Zustimmung der Bank). Ob die Volksbank das bei Hannas Einkommenslage mitmacht, ist zu klären — angesichts ihrer Einkommenssituation dürfte das realistisch sein.</w:t>
      </w:r>
    </w:p>
    <w:p>
      <w:pPr>
        <w:jc w:val="left"/>
      </w:pPr>
      <w:r>
        <w:rPr>
          <w:b/>
        </w:rPr>
        <w:t>Vorteile:</w:t>
      </w:r>
      <w:r>
        <w:t xml:space="preserve"> Kinder bleiben in der gewohnten Umgebung. Hanna ist alleinige Eigentümerin.</w:t>
      </w:r>
    </w:p>
    <w:p>
      <w:pPr>
        <w:jc w:val="left"/>
      </w:pPr>
      <w:r>
        <w:rPr>
          <w:b/>
        </w:rPr>
        <w:t>Nachteile:</w:t>
      </w:r>
      <w:r>
        <w:t xml:space="preserve"> Hanna muss erhebliche Liquidität aufbringen (319.330 EUR), die sie im Zusammenhang mit einem möglichen Zugewinnausgleich von 217.000 EUR nicht einfach bereitstellen kann. Gesamtbelastung ca. 536.000 EUR — das liegt über ihrer liquiden Reserve.</w:t>
      </w:r>
    </w:p>
    <w:p>
      <w:pPr>
        <w:jc w:val="left"/>
      </w:pPr>
      <w:r>
        <w:rPr>
          <w:b/>
        </w:rPr>
        <w:t>Lösungsansatz:</w:t>
      </w:r>
      <w:r>
        <w:t xml:space="preserve"> Hanna könnte die Zugewinnausgleichszahlung verrechnen oder stunden lassen, wenn Franz dem zustimmt. Alternativ: Refinanzierung.</w:t>
      </w:r>
    </w:p>
    <w:p>
      <w:pPr>
        <w:pStyle w:val="Heading3"/>
      </w:pPr>
      <w:r>
        <w:rPr>
          <w:rFonts w:ascii="Times New Roman" w:hAnsi="Times New Roman"/>
        </w:rPr>
        <w:t>Option B: Verkauf und Erlösaufteilung</w:t>
      </w:r>
    </w:p>
    <w:p>
      <w:pPr>
        <w:jc w:val="left"/>
      </w:pPr>
      <w:r>
        <w:t>Das Haus wird veräußert, der Erlös (nach Ablösung des Darlehens) zu gleichen Teilen aufgeteilt.</w:t>
      </w:r>
    </w:p>
    <w:p>
      <w:pPr>
        <w:jc w:val="left"/>
      </w:pPr>
      <w:r>
        <w:t>Berechnung:</w:t>
      </w:r>
    </w:p>
    <w:p>
      <w:pPr>
        <w:pStyle w:val="ListBullet"/>
      </w:pPr>
      <w:r>
        <w:t>Verkaufserlös (Annahme Nettoerlös nach Maklerkosten ca. 3 %, Steuern): ca. 883.000 EUR (Makler) → 892.000 EUR nach Darlehensablösung von 281.340 EUR verbleiben: 610.660 EUR → je 305.330 EUR.</w:t>
      </w:r>
    </w:p>
    <w:p>
      <w:pPr>
        <w:jc w:val="left"/>
      </w:pPr>
      <w:r>
        <w:rPr>
          <w:b/>
        </w:rPr>
        <w:t>Vorteile:</w:t>
      </w:r>
      <w:r>
        <w:t xml:space="preserve"> Einfache Liquidation, klare Aufteilung.</w:t>
      </w:r>
    </w:p>
    <w:p>
      <w:pPr>
        <w:jc w:val="left"/>
      </w:pPr>
      <w:r>
        <w:rPr>
          <w:b/>
        </w:rPr>
        <w:t>Nachteile:</w:t>
      </w:r>
      <w:r>
        <w:t xml:space="preserve"> Kinder müssen umziehen. Mietmarkt Hannover ist angespannt; Hanna müsste für eine vergleichbare Wohnung ca. 2.500–3.000 EUR/Monat einkalkulieren. Erheblicher Einschnitt für Kinder.</w:t>
      </w:r>
    </w:p>
    <w:p>
      <w:pPr>
        <w:jc w:val="left"/>
      </w:pPr>
      <w:r>
        <w:t>Hanna lehnt diese Option derzeit ab.</w:t>
      </w:r>
    </w:p>
    <w:p>
      <w:pPr>
        <w:pStyle w:val="Heading3"/>
      </w:pPr>
      <w:r>
        <w:rPr>
          <w:rFonts w:ascii="Times New Roman" w:hAnsi="Times New Roman"/>
        </w:rPr>
        <w:t>Option C: Franz übernimmt die Immobilie</w:t>
      </w:r>
    </w:p>
    <w:p>
      <w:pPr>
        <w:jc w:val="left"/>
      </w:pPr>
      <w:r>
        <w:t>Franz kauft Hannas Anteil aus. Angesichts von Franz' Liquiditätslage (Unternehmen, keine hohen Ersparnisse) ist das unrealistisch, es sei denn, er refinanziert umfangreich. Zudem hätte Hanna dann keine Wohnmöglichkeit für die Kinder.</w:t>
      </w:r>
    </w:p>
    <w:p>
      <w:pPr>
        <w:jc w:val="left"/>
      </w:pPr>
      <w:r>
        <w:t>Diese Option ist nicht ernsthaft in Betracht zu ziehen.</w:t>
      </w:r>
    </w:p>
    <w:p>
      <w:pPr>
        <w:pStyle w:val="Heading3"/>
      </w:pPr>
      <w:r>
        <w:rPr>
          <w:rFonts w:ascii="Times New Roman" w:hAnsi="Times New Roman"/>
        </w:rPr>
        <w:t>Option D: Realteilung — Wohnrecht Hanna</w:t>
      </w:r>
    </w:p>
    <w:p>
      <w:pPr>
        <w:jc w:val="left"/>
      </w:pPr>
      <w:r>
        <w:t>Hanna erhält ein lebenslanges oder befristetes Wohnrecht am gesamten Haus (§ 1093 BGB / Nießbrauch), Franz erhält eine Ausgleichszahlung. Das Haus bleibt beiden Eigentümern, Hanna wohnt drin, Franz verzichtet auf Nutzung.</w:t>
      </w:r>
    </w:p>
    <w:p>
      <w:pPr>
        <w:jc w:val="left"/>
      </w:pPr>
      <w:r>
        <w:rPr>
          <w:b/>
        </w:rPr>
        <w:t>Vorteil:</w:t>
      </w:r>
      <w:r>
        <w:t xml:space="preserve"> Kein Auszug. Geringere Sofortbelastung.</w:t>
      </w:r>
    </w:p>
    <w:p>
      <w:pPr>
        <w:jc w:val="left"/>
      </w:pPr>
      <w:r>
        <w:rPr>
          <w:b/>
        </w:rPr>
        <w:t>Nachteil:</w:t>
      </w:r>
      <w:r>
        <w:t xml:space="preserve"> Komplexe Absicherung (Grundbuch, Insolvenzrisiko). Franz ist als Miteigentümer gebunden; Verwertung in 5–10 Jahren beim Auszug der Kinder schwieriger.</w:t>
      </w:r>
    </w:p>
    <w:p/>
    <w:p>
      <w:pPr>
        <w:pStyle w:val="Heading2"/>
      </w:pPr>
      <w:r>
        <w:rPr>
          <w:rFonts w:ascii="Times New Roman" w:hAnsi="Times New Roman"/>
        </w:rPr>
        <w:t>4. Teilungsversteigerung als Druckmittel</w:t>
      </w:r>
    </w:p>
    <w:p>
      <w:pPr>
        <w:jc w:val="left"/>
      </w:pPr>
      <w:r>
        <w:t>Franz kann als Miteigentümer die Teilungsversteigerung beantragen (§§ 180 ff. ZVG). Das wäre für Hanna und die Kinder dramatisch, führt aber in der Regel zu niedrigeren Erlösen. In der Praxis wird die Teilungsversteigerung selten als Selbstzweck, häufig als Drohpotenzial eingesetzt.</w:t>
      </w:r>
    </w:p>
    <w:p>
      <w:pPr>
        <w:jc w:val="left"/>
      </w:pPr>
      <w:r>
        <w:t>Die Kanzlei empfiehlt, Hanna auf dieses Szenario vorzubereiten. Ein Antrag Franz' wäre verzögerbar (Einwendungen, einstweilige Einstellungsanträge, Kindeswohlaspekte), aber nicht dauerhaft abwendbar.</w:t>
      </w:r>
    </w:p>
    <w:p/>
    <w:p>
      <w:pPr>
        <w:pStyle w:val="Heading2"/>
      </w:pPr>
      <w:r>
        <w:rPr>
          <w:rFonts w:ascii="Times New Roman" w:hAnsi="Times New Roman"/>
        </w:rPr>
        <w:t>5. Empfehlung</w:t>
      </w:r>
    </w:p>
    <w:p>
      <w:pPr>
        <w:jc w:val="left"/>
      </w:pPr>
      <w:r>
        <w:t xml:space="preserve">Vorzugsstrategie: </w:t>
      </w:r>
      <w:r>
        <w:rPr>
          <w:b/>
        </w:rPr>
        <w:t>Option A (Auskauf Franz' Anteil)</w:t>
      </w:r>
      <w:r>
        <w:t xml:space="preserve"> mit folgender Verhandlungsstruktur:</w:t>
      </w:r>
    </w:p>
    <w:p>
      <w:pPr>
        <w:pStyle w:val="ListBullet"/>
      </w:pPr>
      <w:r>
        <w:t>Zugewinnausgleich und Immobilienauszahlung in einem Paketdeal verhandeln.</w:t>
      </w:r>
    </w:p>
    <w:p>
      <w:pPr>
        <w:pStyle w:val="ListBullet"/>
      </w:pPr>
      <w:r>
        <w:t>Franz erhält Zugewinnausgleich (ca. 217.050 EUR) + Immobilienausgleich (319.330 EUR) = gesamt ca. 536.380 EUR — zahlbar in Tranchen oder mit Refinanzierung.</w:t>
      </w:r>
    </w:p>
    <w:p>
      <w:pPr>
        <w:pStyle w:val="ListBullet"/>
      </w:pPr>
      <w:r>
        <w:t>Hanna übernimmt das Darlehen allein; Volksbank muss zustimmen.</w:t>
      </w:r>
    </w:p>
    <w:p>
      <w:pPr>
        <w:jc w:val="left"/>
      </w:pPr>
      <w:r>
        <w:t>Zeitrahmen: Scheidungsverfahren 2026; Verhandlung Immobilie und Zugewinn im Vergleich parallel zu führen.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