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Architektur PartGmbB — Bewertung und Zugewinnrelevanz</w:t>
      </w:r>
    </w:p>
    <w:p>
      <w:pPr>
        <w:jc w:val="left"/>
      </w:pPr>
      <w:r>
        <w:t>Stand: September 2025</w:t>
      </w:r>
    </w:p>
    <w:p>
      <w:pPr>
        <w:jc w:val="left"/>
      </w:pPr>
      <w:r>
        <w:t>Bearbeiterin: RAin Dr. Friederike Pohl-Krauss</w:t>
      </w:r>
    </w:p>
    <w:p/>
    <w:p>
      <w:pPr>
        <w:pStyle w:val="Heading2"/>
      </w:pPr>
      <w:r>
        <w:rPr>
          <w:rFonts w:ascii="Times New Roman" w:hAnsi="Times New Roman"/>
        </w:rPr>
        <w:t>1. Das Unternehmen</w:t>
      </w:r>
    </w:p>
    <w:p>
      <w:pPr>
        <w:jc w:val="left"/>
      </w:pPr>
      <w:r>
        <w:rPr>
          <w:b/>
        </w:rPr>
        <w:t>Firma:</w:t>
      </w:r>
      <w:r>
        <w:t xml:space="preserve"> Trüffelberch &amp; Ürgelheim Architekturpartnerschaft PartGmbB</w:t>
      </w:r>
    </w:p>
    <w:p>
      <w:pPr>
        <w:jc w:val="left"/>
      </w:pPr>
      <w:r>
        <w:rPr>
          <w:b/>
        </w:rPr>
        <w:t>Handelsregister:</w:t>
      </w:r>
      <w:r>
        <w:t xml:space="preserve"> Partnerschaftsregister Hannover, PR 212</w:t>
      </w:r>
    </w:p>
    <w:p>
      <w:pPr>
        <w:jc w:val="left"/>
      </w:pPr>
      <w:r>
        <w:rPr>
          <w:b/>
        </w:rPr>
        <w:t>Gegründet:</w:t>
      </w:r>
      <w:r>
        <w:t xml:space="preserve"> 12.08.2008 (gleichzeitig mit Eheschließung)</w:t>
      </w:r>
    </w:p>
    <w:p>
      <w:pPr>
        <w:jc w:val="left"/>
      </w:pPr>
      <w:r>
        <w:rPr>
          <w:b/>
        </w:rPr>
        <w:t>Gesellschafter:</w:t>
      </w:r>
    </w:p>
    <w:p>
      <w:pPr>
        <w:pStyle w:val="ListBullet"/>
      </w:pPr>
      <w:r>
        <w:t>Hanna Trüffelberch, 50 % — voll haftende Partnerin, Geschäftsführerin</w:t>
      </w:r>
    </w:p>
    <w:p>
      <w:pPr>
        <w:pStyle w:val="ListBullet"/>
      </w:pPr>
      <w:r>
        <w:t>Anne Ürgelheim (Schwester Hannas), 50 % — voll haftende Partnerin, Entwurfsleitung</w:t>
      </w:r>
    </w:p>
    <w:p>
      <w:pPr>
        <w:jc w:val="left"/>
      </w:pPr>
      <w:r>
        <w:rPr>
          <w:b/>
        </w:rPr>
        <w:t>Mitarbeiter:</w:t>
      </w:r>
      <w:r>
        <w:t xml:space="preserve"> 18 (Stand 2025), davon 12 Architekten/Ingenieure, 4 Büroangestellte, 2 Azubis.</w:t>
      </w:r>
    </w:p>
    <w:p>
      <w:pPr>
        <w:jc w:val="left"/>
      </w:pPr>
      <w:r>
        <w:rPr>
          <w:b/>
        </w:rPr>
        <w:t>Umsatz (2024):</w:t>
      </w:r>
      <w:r>
        <w:t xml:space="preserve"> ca. 3,8 Mio. EUR brutto (Beratungsleistungen Architektur + Planung).</w:t>
      </w:r>
    </w:p>
    <w:p>
      <w:pPr>
        <w:jc w:val="left"/>
      </w:pPr>
      <w:r>
        <w:rPr>
          <w:b/>
        </w:rPr>
        <w:t>EBITDA (2024):</w:t>
      </w:r>
      <w:r>
        <w:t xml:space="preserve"> ca. 840.000 EUR.</w:t>
      </w:r>
    </w:p>
    <w:p>
      <w:pPr>
        <w:jc w:val="left"/>
      </w:pPr>
      <w:r>
        <w:rPr>
          <w:b/>
        </w:rPr>
        <w:t>Schwerpunkt:</w:t>
      </w:r>
      <w:r>
        <w:t xml:space="preserve"> Öffentlicher Hochbau, sozialer Wohnungsbau, Schulgebäude, Renovierung historischer Gebäude.</w:t>
      </w:r>
    </w:p>
    <w:p/>
    <w:p>
      <w:pPr>
        <w:pStyle w:val="Heading2"/>
      </w:pPr>
      <w:r>
        <w:rPr>
          <w:rFonts w:ascii="Times New Roman" w:hAnsi="Times New Roman"/>
        </w:rPr>
        <w:t>2. Wirtschaftsgutachten WP Dreschler</w:t>
      </w:r>
    </w:p>
    <w:p>
      <w:pPr>
        <w:jc w:val="left"/>
      </w:pPr>
      <w:r>
        <w:rPr>
          <w:b/>
        </w:rPr>
        <w:t>Gutachter:</w:t>
      </w:r>
      <w:r>
        <w:t xml:space="preserve"> Dr. Johannes Dreschler, Wirtschaftsprüfer und Steuerberater, Hannover (Büro: Marktstraße 88, 30159 Hannover).</w:t>
      </w:r>
    </w:p>
    <w:p>
      <w:pPr>
        <w:jc w:val="left"/>
      </w:pPr>
      <w:r>
        <w:rPr>
          <w:b/>
        </w:rPr>
        <w:t>Auftrag:</w:t>
      </w:r>
      <w:r>
        <w:t xml:space="preserve"> August 2025, durch RAin Helmstedt im Namen Hannas.</w:t>
      </w:r>
    </w:p>
    <w:p>
      <w:pPr>
        <w:jc w:val="left"/>
      </w:pPr>
      <w:r>
        <w:rPr>
          <w:b/>
        </w:rPr>
        <w:t>Ergebnis:</w:t>
      </w:r>
      <w:r>
        <w:t xml:space="preserve"> Gesamtunternehmenswert 1.420.000 EUR (Methode: modifiziertes Ertragswertverfahren nach IDW S 1).</w:t>
      </w:r>
    </w:p>
    <w:p>
      <w:pPr>
        <w:jc w:val="left"/>
      </w:pPr>
      <w:r>
        <w:rPr>
          <w:b/>
        </w:rPr>
        <w:t>Methodengrundlagen:</w:t>
      </w:r>
    </w:p>
    <w:p>
      <w:pPr>
        <w:pStyle w:val="ListBullet"/>
      </w:pPr>
      <w:r>
        <w:t>Ertragswertverfahren auf Basis nachhaltiger Erträge.</w:t>
      </w:r>
    </w:p>
    <w:p>
      <w:pPr>
        <w:pStyle w:val="ListBullet"/>
      </w:pPr>
      <w:r>
        <w:t>Vergangenheitsbasis: Jahresabschlüsse 2021–2024.</w:t>
      </w:r>
    </w:p>
    <w:p>
      <w:pPr>
        <w:pStyle w:val="ListBullet"/>
      </w:pPr>
      <w:r>
        <w:t>Kapitalisierungszins: 12 % (Basiszins 3,5 % + Risikozuschlag 8,5 %).</w:t>
      </w:r>
    </w:p>
    <w:p>
      <w:pPr>
        <w:pStyle w:val="ListBullet"/>
      </w:pPr>
      <w:r>
        <w:t>Nachhaltig erzielbarer Jahresüberschuss je Gesellschaft: ca. 365.000 EUR p.a. (je Gesellschafterhälfte: 182.500 EUR).</w:t>
      </w:r>
    </w:p>
    <w:p>
      <w:pPr>
        <w:pStyle w:val="ListBullet"/>
      </w:pPr>
      <w:r>
        <w:t>Kapitalwert des nachhaltigen Ertrags: rd. 1.520.000 EUR.</w:t>
      </w:r>
    </w:p>
    <w:p>
      <w:pPr>
        <w:pStyle w:val="ListBullet"/>
      </w:pPr>
      <w:r>
        <w:t>Abzüge für nicht betriebsnotwendiges Vermögen, Haftungsrisiken, Branchen-Discount: − 100.000 EUR.</w:t>
      </w:r>
    </w:p>
    <w:p>
      <w:pPr>
        <w:pStyle w:val="ListBullet"/>
      </w:pPr>
      <w:r>
        <w:rPr>
          <w:b/>
        </w:rPr>
        <w:t>Gesamtwert: 1.420.000 EUR</w:t>
      </w:r>
      <w:r>
        <w:t>.</w:t>
      </w:r>
    </w:p>
    <w:p>
      <w:pPr>
        <w:jc w:val="left"/>
      </w:pPr>
      <w:r>
        <w:t>Hannas Anteil (50 %): 710.000 EUR.</w:t>
      </w:r>
    </w:p>
    <w:p/>
    <w:p>
      <w:pPr>
        <w:pStyle w:val="Heading2"/>
      </w:pPr>
      <w:r>
        <w:rPr>
          <w:rFonts w:ascii="Times New Roman" w:hAnsi="Times New Roman"/>
        </w:rPr>
        <w:t>3. Bewertungsstreit — Goodwill vs. Substanz</w:t>
      </w:r>
    </w:p>
    <w:p>
      <w:pPr>
        <w:jc w:val="left"/>
      </w:pPr>
      <w:r>
        <w:t>Die Bewertung des Architekturbüros ist der größte potenzielle Streitpunkt im Zugewinnausgleich.</w:t>
      </w:r>
    </w:p>
    <w:p>
      <w:pPr>
        <w:pStyle w:val="Heading3"/>
      </w:pPr>
      <w:r>
        <w:rPr>
          <w:rFonts w:ascii="Times New Roman" w:hAnsi="Times New Roman"/>
        </w:rPr>
        <w:t>3.1 Goodwill-Problem</w:t>
      </w:r>
    </w:p>
    <w:p>
      <w:pPr>
        <w:jc w:val="left"/>
      </w:pPr>
      <w:r>
        <w:t>Der Unternehmenswert enthält einen erheblichen Goodwill-Anteil (Kundenstamm, Ruf, laufende Verträge, Mitarbeiterbindung). Im Familienrecht ist seit langem umstritten, inwieweit „unechter Firmenwert" (sog. persönlicher Goodwill, der mit der Person des Unternehmers verknüpft ist) im Zugewinnausgleich zu berücksichtigen ist.</w:t>
      </w:r>
    </w:p>
    <w:p>
      <w:pPr>
        <w:jc w:val="left"/>
      </w:pPr>
      <w:r>
        <w:t>Die Rechtsprechung des BGH unterscheidet:</w:t>
      </w:r>
    </w:p>
    <w:p>
      <w:pPr>
        <w:pStyle w:val="ListBullet"/>
      </w:pPr>
      <w:r>
        <w:rPr>
          <w:b/>
        </w:rPr>
        <w:t>Objektivierter Firmenwert</w:t>
      </w:r>
      <w:r>
        <w:t xml:space="preserve"> (nachhaltig übertragbar) → ist Vermögen, gehört in den Zugewinn.</w:t>
      </w:r>
    </w:p>
    <w:p>
      <w:pPr>
        <w:pStyle w:val="ListBullet"/>
      </w:pPr>
      <w:r>
        <w:rPr>
          <w:b/>
        </w:rPr>
        <w:t>Persönlicher Goodwill</w:t>
      </w:r>
      <w:r>
        <w:t xml:space="preserve"> (an Person des Inhabers gebunden, z.B. durch Patente, Namen, besondere Fähigkeiten) → umstritten; nach der h.M. ebenfalls zugewinnrelevant, aber mit Abschlag zu bewerten.</w:t>
      </w:r>
    </w:p>
    <w:p>
      <w:pPr>
        <w:jc w:val="left"/>
      </w:pPr>
      <w:r>
        <w:t>Bei einem Architekturbüro ist ein erheblicher Teil des Goodwills personengebunden (Hannas persönliche Kontakte, ihr Name als Alleinstellungsmerkmal). Ob das im Zugewinn zu berücksichtigen ist: ja, aber mit methodischem Spielraum.</w:t>
      </w:r>
    </w:p>
    <w:p>
      <w:pPr>
        <w:jc w:val="left"/>
      </w:pPr>
      <w:r>
        <w:t>Franz' Anwältin wird voraussichtlich einen eigenen Gutachter einsetzen, der auf einen niedrigeren Wert kommt. Das ist das Standardspiel in Zugewinnstreitigkeiten mit unternehmerischen Vermögen.</w:t>
      </w:r>
    </w:p>
    <w:p>
      <w:pPr>
        <w:pStyle w:val="Heading3"/>
      </w:pPr>
      <w:r>
        <w:rPr>
          <w:rFonts w:ascii="Times New Roman" w:hAnsi="Times New Roman"/>
        </w:rPr>
        <w:t>3.2 Schwester als Mitgesellschafterin</w:t>
      </w:r>
    </w:p>
    <w:p>
      <w:pPr>
        <w:jc w:val="left"/>
      </w:pPr>
      <w:r>
        <w:t>Anne Ürgelheim ist Mitinhaberin mit 50 %. Das ist keine bloße Gesellschafterstellung ohne Einfluss — sie ist vollwertige Partnerin. Der Gesellschaftsvertrag enthält:</w:t>
      </w:r>
    </w:p>
    <w:p>
      <w:pPr>
        <w:pStyle w:val="ListBullet"/>
      </w:pPr>
      <w:r>
        <w:t>Vinkulierungsklausel: Übertragung von Gesellschaftsanteilen nur mit Zustimmung der anderen Gesellschafterin.</w:t>
      </w:r>
    </w:p>
    <w:p>
      <w:pPr>
        <w:pStyle w:val="ListBullet"/>
      </w:pPr>
      <w:r>
        <w:t>Gewinnentnahme: je hälftig.</w:t>
      </w:r>
    </w:p>
    <w:p>
      <w:pPr>
        <w:pStyle w:val="ListBullet"/>
      </w:pPr>
      <w:r>
        <w:t>Ausscheiden: Abfindung nach Buchwert (sic!), nicht nach Verkehrswert.</w:t>
      </w:r>
    </w:p>
    <w:p>
      <w:pPr>
        <w:jc w:val="left"/>
      </w:pPr>
      <w:r>
        <w:t>Die Abfindungsklausel (Buchwert) ist für Zugewinnzwecke problematisch: Der Verkehrswert der PartGmbB kann deutlich über dem Buchwert liegen, und Hanna könnte bei einem Verkauf oder Ausscheiden nur den Buchwert erhalten — das ist für den Zugewinn relevant (Realisierbarkeit des Werts).</w:t>
      </w:r>
    </w:p>
    <w:p>
      <w:pPr>
        <w:jc w:val="left"/>
      </w:pPr>
      <w:r>
        <w:t>WP Dreschler hat auf dieses Problem in seinem Gutachten hingewiesen und einen Paketzuschlag von ca. 5 % angesetzt (weil der Anteil nicht frei verkäuflich ist = Abschlag, der durch die Einflussstellung aufgewogen wird). Das ist eine vertretbare, aber nicht alternativlose Methode.</w:t>
      </w:r>
    </w:p>
    <w:p>
      <w:pPr>
        <w:pStyle w:val="Heading3"/>
      </w:pPr>
      <w:r>
        <w:rPr>
          <w:rFonts w:ascii="Times New Roman" w:hAnsi="Times New Roman"/>
        </w:rPr>
        <w:t>3.3 Anfangsvermögen: Büro 2008 wertlos</w:t>
      </w:r>
    </w:p>
    <w:p>
      <w:pPr>
        <w:jc w:val="left"/>
      </w:pPr>
      <w:r>
        <w:t>Das Büro wurde zeitgleich mit der Eheschließung gegründet. Anfangswert: 0 EUR (keine Aufträge, kein Inventar außer Büroausstattung). Dieser Umstand ist klar: das gesamte Burowachstum ist ehelicher Zugewinn — nur der persönliche Goodwill-Abzug ist umstritten.</w:t>
      </w:r>
    </w:p>
    <w:p/>
    <w:p>
      <w:pPr>
        <w:pStyle w:val="Heading2"/>
      </w:pPr>
      <w:r>
        <w:rPr>
          <w:rFonts w:ascii="Times New Roman" w:hAnsi="Times New Roman"/>
        </w:rPr>
        <w:t>4. Verwertungsrisiken</w:t>
      </w:r>
    </w:p>
    <w:p>
      <w:pPr>
        <w:jc w:val="left"/>
      </w:pPr>
      <w:r>
        <w:t>Hanna kann ihren Anteil an der PartGmbB nicht ohne Weiteres verwerten, um den Zugewinnausgleich zu finanzieren:</w:t>
      </w:r>
    </w:p>
    <w:p>
      <w:pPr>
        <w:pStyle w:val="ListNumber"/>
      </w:pPr>
      <w:r>
        <w:rPr>
          <w:b/>
        </w:rPr>
        <w:t>Vinkulierung:</w:t>
      </w:r>
      <w:r>
        <w:t xml:space="preserve"> Zustimmung der Schwester erforderlich.</w:t>
      </w:r>
    </w:p>
    <w:p>
      <w:pPr>
        <w:pStyle w:val="ListNumber"/>
      </w:pPr>
      <w:r>
        <w:rPr>
          <w:b/>
        </w:rPr>
        <w:t>Abfindungsklausel nach Buchwert:</w:t>
      </w:r>
      <w:r>
        <w:t xml:space="preserve"> Bei Ausscheiden nur Buchwert — deutlich unter Verkehrswert.</w:t>
      </w:r>
    </w:p>
    <w:p>
      <w:pPr>
        <w:pStyle w:val="ListNumber"/>
      </w:pPr>
      <w:r>
        <w:rPr>
          <w:b/>
        </w:rPr>
        <w:t>Persönliche Haftung:</w:t>
      </w:r>
      <w:r>
        <w:t xml:space="preserve"> Als Gesellschafterin einer PartGmbB haftet Hanna für Pflichtverletzungen persönlich — ein Verkauf würde Hannas eigene Haftungsstellung verändern.</w:t>
      </w:r>
    </w:p>
    <w:p>
      <w:pPr>
        <w:jc w:val="left"/>
      </w:pPr>
      <w:r>
        <w:t>Ergebnis: Hanna kann den rechnerischen Unternehmenswert nicht kurzfristig liquidieren. Das ist für die Verhandlung des Zugewinnausgleichs ein wichtiges Argument: Ein Ratenzahlungsmodell oder eine zeitgestreckte Ausgleichszahlung ist realistischer als eine Sofortzahlung.</w:t>
      </w:r>
    </w:p>
    <w:p/>
    <w:p>
      <w:pPr>
        <w:pStyle w:val="Heading2"/>
      </w:pPr>
      <w:r>
        <w:rPr>
          <w:rFonts w:ascii="Times New Roman" w:hAnsi="Times New Roman"/>
        </w:rPr>
        <w:t>5. Offene Punkte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Status</w:t>
            </w:r>
          </w:p>
        </w:tc>
      </w:tr>
      <w:tr>
        <w:tc>
          <w:tcPr>
            <w:tcW w:type="dxa" w:w="4536"/>
          </w:tcPr>
          <w:p>
            <w:r>
              <w:rPr>
                <w:rFonts w:ascii="Times New Roman" w:hAnsi="Times New Roman"/>
                <w:sz w:val="20"/>
              </w:rPr>
              <w:t>Jahresabschlüsse PartGmbB 2021–2024</w:t>
            </w:r>
          </w:p>
        </w:tc>
        <w:tc>
          <w:tcPr>
            <w:tcW w:type="dxa" w:w="4536"/>
          </w:tcPr>
          <w:p>
            <w:r>
              <w:rPr>
                <w:rFonts w:ascii="Times New Roman" w:hAnsi="Times New Roman"/>
                <w:sz w:val="20"/>
              </w:rPr>
              <w:t>WP Dreschler liegt vor; Franz hat noch kein Gegenangebot eingereicht</w:t>
            </w:r>
          </w:p>
        </w:tc>
      </w:tr>
      <w:tr>
        <w:tc>
          <w:tcPr>
            <w:tcW w:type="dxa" w:w="4536"/>
          </w:tcPr>
          <w:p>
            <w:r>
              <w:rPr>
                <w:rFonts w:ascii="Times New Roman" w:hAnsi="Times New Roman"/>
                <w:sz w:val="20"/>
              </w:rPr>
              <w:t>Gesellschaftsvertrag PartGmbB</w:t>
            </w:r>
          </w:p>
        </w:tc>
        <w:tc>
          <w:tcPr>
            <w:tcW w:type="dxa" w:w="4536"/>
          </w:tcPr>
          <w:p>
            <w:r>
              <w:rPr>
                <w:rFonts w:ascii="Times New Roman" w:hAnsi="Times New Roman"/>
                <w:sz w:val="20"/>
              </w:rPr>
              <w:t>liegt der Kanzlei vor; Prüfung abgeschlossen</w:t>
            </w:r>
          </w:p>
        </w:tc>
      </w:tr>
      <w:tr>
        <w:tc>
          <w:tcPr>
            <w:tcW w:type="dxa" w:w="4536"/>
          </w:tcPr>
          <w:p>
            <w:r>
              <w:rPr>
                <w:rFonts w:ascii="Times New Roman" w:hAnsi="Times New Roman"/>
                <w:sz w:val="20"/>
              </w:rPr>
              <w:t>Jahresabschlüsse Holzwerkstätten e.K. 2022–2024</w:t>
            </w:r>
          </w:p>
        </w:tc>
        <w:tc>
          <w:tcPr>
            <w:tcW w:type="dxa" w:w="4536"/>
          </w:tcPr>
          <w:p>
            <w:r>
              <w:rPr>
                <w:rFonts w:ascii="Times New Roman" w:hAnsi="Times New Roman"/>
                <w:sz w:val="20"/>
              </w:rPr>
              <w:t>noch ausstehend (RAin Ganzhorn)</w:t>
            </w:r>
          </w:p>
        </w:tc>
      </w:tr>
      <w:tr>
        <w:tc>
          <w:tcPr>
            <w:tcW w:type="dxa" w:w="4536"/>
          </w:tcPr>
          <w:p>
            <w:r>
              <w:rPr>
                <w:rFonts w:ascii="Times New Roman" w:hAnsi="Times New Roman"/>
                <w:sz w:val="20"/>
              </w:rPr>
              <w:t>Dreschler-Gutachten: Stand Franz-Erwiderung</w:t>
            </w:r>
          </w:p>
        </w:tc>
        <w:tc>
          <w:tcPr>
            <w:tcW w:type="dxa" w:w="4536"/>
          </w:tcPr>
          <w:p>
            <w:r>
              <w:rPr>
                <w:rFonts w:ascii="Times New Roman" w:hAnsi="Times New Roman"/>
                <w:sz w:val="20"/>
              </w:rPr>
              <w:t>ausstehend</w:t>
            </w:r>
          </w:p>
        </w:tc>
      </w:tr>
      <w:tr>
        <w:tc>
          <w:tcPr>
            <w:tcW w:type="dxa" w:w="4536"/>
          </w:tcPr>
          <w:p>
            <w:r>
              <w:rPr>
                <w:rFonts w:ascii="Times New Roman" w:hAnsi="Times New Roman"/>
                <w:sz w:val="20"/>
              </w:rPr>
              <w:t>Ggf. gerichtlich bestellter Sachverständiger</w:t>
            </w:r>
          </w:p>
        </w:tc>
        <w:tc>
          <w:tcPr>
            <w:tcW w:type="dxa" w:w="4536"/>
          </w:tcPr>
          <w:p>
            <w:r>
              <w:rPr>
                <w:rFonts w:ascii="Times New Roman" w:hAnsi="Times New Roman"/>
                <w:sz w:val="20"/>
              </w:rPr>
              <w:t>wenn Parteigutachten stark divergieren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