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Scheidungsantrag — Entwurf und Vorbereitung</w:t>
      </w:r>
    </w:p>
    <w:p>
      <w:pPr>
        <w:jc w:val="left"/>
      </w:pPr>
      <w:r>
        <w:t>Stand: September 2025 (Einreichung geplant: Januar 2026)</w:t>
      </w:r>
    </w:p>
    <w:p>
      <w:pPr>
        <w:jc w:val="left"/>
      </w:pPr>
      <w:r>
        <w:t>Bearbeiterin: RAin Dr. Friederike Pohl-Krauss / RAin Helmstedt</w:t>
      </w:r>
    </w:p>
    <w:p/>
    <w:p>
      <w:pPr>
        <w:pStyle w:val="Heading2"/>
      </w:pPr>
      <w:r>
        <w:rPr>
          <w:rFonts w:ascii="Times New Roman" w:hAnsi="Times New Roman"/>
        </w:rPr>
        <w:t>1. Verfahrensübersicht</w:t>
      </w:r>
    </w:p>
    <w:p>
      <w:pPr>
        <w:jc w:val="left"/>
      </w:pPr>
      <w:r>
        <w:t>Der Scheidungsantrag soll beim Amtsgericht Hannover — Familiengericht eingereicht werden. Zuständig ist das Familiengericht am gewöhnlichen Aufenthaltsort der Kinder (§ 122 Nr. 1 FamFG) bzw. an dem Ort, an dem beide Ehegatten zuletzt zusammen gewohnt haben — beides zeigt auf Hannover.</w:t>
      </w:r>
    </w:p>
    <w:p>
      <w:pPr>
        <w:jc w:val="left"/>
      </w:pPr>
      <w:r>
        <w:rPr>
          <w:b/>
        </w:rPr>
        <w:t>Zuständiges Gericht:</w:t>
      </w:r>
    </w:p>
    <w:p>
      <w:pPr>
        <w:jc w:val="left"/>
      </w:pPr>
      <w:r>
        <w:t>Amtsgericht Hannover, Familiengericht</w:t>
      </w:r>
    </w:p>
    <w:p>
      <w:pPr>
        <w:jc w:val="left"/>
      </w:pPr>
      <w:r>
        <w:t>Volgersweg 65, 30175 Hannover</w:t>
      </w:r>
    </w:p>
    <w:p>
      <w:pPr>
        <w:jc w:val="left"/>
      </w:pPr>
      <w:r>
        <w:rPr>
          <w:b/>
        </w:rPr>
        <w:t>Geplantes Einreichungsdatum:</w:t>
      </w:r>
      <w:r>
        <w:t xml:space="preserve"> Januar 2026 (nach Ablauf des Trennungsjahres am 14.11.2025).</w:t>
      </w:r>
    </w:p>
    <w:p/>
    <w:p>
      <w:pPr>
        <w:pStyle w:val="Heading2"/>
      </w:pPr>
      <w:r>
        <w:rPr>
          <w:rFonts w:ascii="Times New Roman" w:hAnsi="Times New Roman"/>
        </w:rPr>
        <w:t>2. Antragsinhalt (Hauptsache)</w:t>
      </w:r>
    </w:p>
    <w:p>
      <w:pPr>
        <w:jc w:val="left"/>
      </w:pPr>
      <w:r>
        <w:rPr>
          <w:b/>
        </w:rPr>
        <w:t>Antrag auf Scheidung (§ 1565 BGB):</w:t>
      </w:r>
      <w:r>
        <w:t xml:space="preserve"> Die Ehe zwischen Hanna Trüffelberch, geb. Ürgelheim, und Franz Trüffelberch ist gescheitert. Beide Ehegatten leben seit dem 14.11.2024 getrennt; eine Wiederherstellung der ehelichen Lebensgemeinschaft ist nicht zu erwarten. Das Trennungsjahr ist abgelaufen.</w:t>
      </w:r>
    </w:p>
    <w:p>
      <w:pPr>
        <w:jc w:val="left"/>
      </w:pPr>
      <w:r>
        <w:rPr>
          <w:b/>
        </w:rPr>
        <w:t>Keine Härteklausel-Situation:</w:t>
      </w:r>
      <w:r>
        <w:t xml:space="preserve"> Es liegt kein Sachverhalt vor, der eine sofortige Scheidung ohne Trennungsjahr (§ 1565 Abs. 2 BGB) rechtfertigen würde.</w:t>
      </w:r>
    </w:p>
    <w:p/>
    <w:p>
      <w:pPr>
        <w:pStyle w:val="Heading2"/>
      </w:pPr>
      <w:r>
        <w:rPr>
          <w:rFonts w:ascii="Times New Roman" w:hAnsi="Times New Roman"/>
        </w:rPr>
        <w:t>3. Folgesachen (Verbundverfahren)</w:t>
      </w:r>
    </w:p>
    <w:p>
      <w:pPr>
        <w:jc w:val="left"/>
      </w:pPr>
      <w:r>
        <w:t>Der Scheidungsantrag löst automatisch das Versorgungsausgleichsverfahren aus (§ 137 Abs. 2 FamFG). Darüber hinaus kann Hanna folgende Folgesachen im Verbund einreichen: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Folgesache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Hanna-Interesse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Versorgungsausgleich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 ff. VersAusglG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Pflichtfachsache, von Amts wegen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Zugewinnausgleich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1378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Hanna hat auszugleichen; Antrag Franz erwartet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Kindesunterhalt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1601 ff.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durch Hanna für die Kinder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Trennungsunterhalt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1361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 könnte Antrag stellen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Eheliche Wohnung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1568a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Hanna beantragt Überlassung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Elterliche Sorge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1671, 1680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Hanna beantragt Regelung (falls keine Einigung)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1684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Hanna beantragt Regelung (falls keine Einigung)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Wichtige Entscheidung: Was in den Verbund?</w:t>
      </w:r>
    </w:p>
    <w:p>
      <w:pPr>
        <w:jc w:val="left"/>
      </w:pPr>
      <w:r>
        <w:t>Sorge und Umgang können auch getrennt vom Scheidungsverbund (als eigenständige Kindschaftssachen) beantragt werden. Das ist manchmal taktisch besser, weil Kindschaftsverfahren schneller entschieden werden als der Scheidungsverbund.</w:t>
      </w:r>
    </w:p>
    <w:p>
      <w:pPr>
        <w:jc w:val="left"/>
      </w:pPr>
      <w:r>
        <w:t>Die Kanzlei empfiehlt derzeit:</w:t>
      </w:r>
    </w:p>
    <w:p>
      <w:pPr>
        <w:pStyle w:val="ListBullet"/>
      </w:pPr>
      <w:r>
        <w:t xml:space="preserve">Sorge und Umgang </w:t>
      </w:r>
      <w:r>
        <w:rPr>
          <w:b/>
        </w:rPr>
        <w:t>nicht</w:t>
      </w:r>
      <w:r>
        <w:t xml:space="preserve"> in den Verbund einbeziehen, sondern als eigenständige einstweilige Anordnung sobald nötig.</w:t>
      </w:r>
    </w:p>
    <w:p>
      <w:pPr>
        <w:pStyle w:val="ListBullet"/>
      </w:pPr>
      <w:r>
        <w:t>Versorgungsausgleich, Zugewinn, Unterhalt und Wohnung in den Verbund.</w:t>
      </w:r>
    </w:p>
    <w:p/>
    <w:p>
      <w:pPr>
        <w:pStyle w:val="Heading2"/>
      </w:pPr>
      <w:r>
        <w:rPr>
          <w:rFonts w:ascii="Times New Roman" w:hAnsi="Times New Roman"/>
        </w:rPr>
        <w:t>4. Anwaltszwang</w:t>
      </w:r>
    </w:p>
    <w:p>
      <w:pPr>
        <w:jc w:val="left"/>
      </w:pPr>
      <w:r>
        <w:t>Im Scheidungsverfahren besteht Anwaltszwang für beide Seiten (§ 114 FamFG). Hanna ist durch RAin Helmstedt (Hannover) vertreten. Franz wird durch RAin Ganzhorn vertreten.</w:t>
      </w:r>
    </w:p>
    <w:p/>
    <w:p>
      <w:pPr>
        <w:pStyle w:val="Heading2"/>
      </w:pPr>
      <w:r>
        <w:rPr>
          <w:rFonts w:ascii="Times New Roman" w:hAnsi="Times New Roman"/>
        </w:rPr>
        <w:t>5. Prozesskostenhilfe</w:t>
      </w:r>
    </w:p>
    <w:p>
      <w:pPr>
        <w:jc w:val="left"/>
      </w:pPr>
      <w:r>
        <w:t>Für Hanna ist PKH nicht relevant (Einkommen weit über Grenze). Franz könnte theoretisch PKH beantragen — wäre zu prüfen. Angesichts von 3.100 EUR Nettoeinkommen und Unternehmensvermögen dürfte das schwierig sein.</w:t>
      </w:r>
    </w:p>
    <w:p/>
    <w:p>
      <w:pPr>
        <w:pStyle w:val="Heading2"/>
      </w:pPr>
      <w:r>
        <w:rPr>
          <w:rFonts w:ascii="Times New Roman" w:hAnsi="Times New Roman"/>
        </w:rPr>
        <w:t>6. Verfahrensvorbereitung</w:t>
      </w:r>
    </w:p>
    <w:p>
      <w:pPr>
        <w:pStyle w:val="Heading3"/>
      </w:pPr>
      <w:r>
        <w:rPr>
          <w:rFonts w:ascii="Times New Roman" w:hAnsi="Times New Roman"/>
        </w:rPr>
        <w:t>6.1 Unterlagen für den Scheidungsantrag</w:t>
      </w:r>
    </w:p>
    <w:p>
      <w:pPr>
        <w:jc w:val="left"/>
      </w:pPr>
      <w:r>
        <w:t>Folgende Unterlagen müssen zum Einreichungszeitpunkt vollständig vorliegen:</w:t>
      </w:r>
    </w:p>
    <w:p>
      <w:pPr>
        <w:pStyle w:val="ListBullet"/>
      </w:pPr>
      <w:r>
        <w:t>[ ] Heiratsurkunde (Standesamt Hannover-Mitte; liegt Kanzlei noch nicht vor — bei Hanna anfordern)</w:t>
      </w:r>
    </w:p>
    <w:p>
      <w:pPr>
        <w:pStyle w:val="ListBullet"/>
      </w:pPr>
      <w:r>
        <w:t>[ ] Aktuelle Geburtsurkunden alle drei Kinder</w:t>
      </w:r>
    </w:p>
    <w:p>
      <w:pPr>
        <w:pStyle w:val="ListBullet"/>
      </w:pPr>
      <w:r>
        <w:t>[ ] Melderegisterauszüge Hanna und Franz</w:t>
      </w:r>
    </w:p>
    <w:p>
      <w:pPr>
        <w:pStyle w:val="ListBullet"/>
      </w:pPr>
      <w:r>
        <w:t>[ ] Vorabauskunft DRV (Hanna und Franz) — durch Gericht angefordert</w:t>
      </w:r>
    </w:p>
    <w:p>
      <w:pPr>
        <w:pStyle w:val="ListBullet"/>
      </w:pPr>
      <w:r>
        <w:t>[ ] Vorabauskunft AKNS-Versorgungswerk (Hanna) — liegt vor</w:t>
      </w:r>
    </w:p>
    <w:p>
      <w:pPr>
        <w:pStyle w:val="ListBullet"/>
      </w:pPr>
      <w:r>
        <w:t>[ ] Vorabauskunft Allianz-LV (Franz) — ausstehend</w:t>
      </w:r>
    </w:p>
    <w:p>
      <w:pPr>
        <w:pStyle w:val="ListBullet"/>
      </w:pPr>
      <w:r>
        <w:t>[ ] Vollständige Jahresabschlüsse PartGmbB 2021–2024 — liegt WP Dreschler vor</w:t>
      </w:r>
    </w:p>
    <w:p>
      <w:pPr>
        <w:pStyle w:val="ListBullet"/>
      </w:pPr>
      <w:r>
        <w:t>[ ] Vollständige Jahresabschlüsse Holzwerkstätten e.K. 2022–2024 — ausstehend</w:t>
      </w:r>
    </w:p>
    <w:p>
      <w:pPr>
        <w:pStyle w:val="ListBullet"/>
      </w:pPr>
      <w:r>
        <w:t>[ ] Gehalts-/Einkommensnachweise beider Parteien (3 Monate rückwirkend)</w:t>
      </w:r>
    </w:p>
    <w:p>
      <w:pPr>
        <w:pStyle w:val="ListBullet"/>
      </w:pPr>
      <w:r>
        <w:t>[ ] Grundbuchauszug Lindener Hofstraße 47 — RAin Helmstedt bestellt</w:t>
      </w:r>
    </w:p>
    <w:p>
      <w:pPr>
        <w:pStyle w:val="Heading3"/>
      </w:pPr>
      <w:r>
        <w:rPr>
          <w:rFonts w:ascii="Times New Roman" w:hAnsi="Times New Roman"/>
        </w:rPr>
        <w:t>6.2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Trennungsjahr-Ende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 Unterlagensammlung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Abstimmung Dr. Pohl-Krauss / Helmstedt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Scheidungsantrag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an Franz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02.02.2026 (Stichtag Endvermögen)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mündliche Verhandlung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6–9 Monate nach Zustellung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Antragsentwurf</w:t>
      </w:r>
    </w:p>
    <w:p>
      <w:pPr>
        <w:jc w:val="left"/>
      </w:pPr>
      <w:r>
        <w:t xml:space="preserve">Der vollständige Antragsentwurf liegt als DOCX-Anhang vor: </w:t>
      </w:r>
      <w:r>
        <w:t>docx/scheidungsantrag_entwurf_hanna_trueffelberch.docx</w:t>
      </w:r>
      <w:r>
        <w:t>.</w:t>
      </w:r>
    </w:p>
    <w:p>
      <w:pPr>
        <w:jc w:val="left"/>
      </w:pPr>
      <w:r>
        <w:t>Wesentliche Antragsformulierungen:</w:t>
      </w:r>
    </w:p>
    <w:p>
      <w:pPr>
        <w:pStyle w:val="ListNumber"/>
      </w:pPr>
      <w:r>
        <w:t>Die am 12.08.2008 vor dem Standesamt Hannover geschlossene Ehe der Antragstellerin Hanna Trüffelberch, geb. Ürgelheim, und des Antragsgegners Franz Trüffelberch wird geschieden.</w:t>
      </w:r>
    </w:p>
    <w:p>
      <w:pPr>
        <w:pStyle w:val="ListNumber"/>
      </w:pPr>
      <w:r>
        <w:t>Der Versorgungsausgleich wird durchgeführt.</w:t>
      </w:r>
    </w:p>
    <w:p>
      <w:pPr>
        <w:pStyle w:val="ListNumber"/>
      </w:pPr>
      <w:r>
        <w:t>[Folgesachen nach Entscheidung der Parteien zum Verbund]</w:t>
      </w:r>
    </w:p>
    <w:p/>
    <w:p>
      <w:pPr>
        <w:pStyle w:val="Heading2"/>
      </w:pPr>
      <w:r>
        <w:rPr>
          <w:rFonts w:ascii="Times New Roman" w:hAnsi="Times New Roman"/>
        </w:rPr>
        <w:t>8. Einigung als Ziel</w:t>
      </w:r>
    </w:p>
    <w:p>
      <w:pPr>
        <w:jc w:val="left"/>
      </w:pPr>
      <w:r>
        <w:t>Das Ziel bleibt ein notarieller Scheidungsfolgenvertrag vor Einreichung des Scheidungsantrags oder parallel dazu, der folgende Punkte regelt:</w:t>
      </w:r>
    </w:p>
    <w:p>
      <w:pPr>
        <w:pStyle w:val="ListBullet"/>
      </w:pPr>
      <w:r>
        <w:t>Zugewinnausgleich und Immobilie (Paket),</w:t>
      </w:r>
    </w:p>
    <w:p>
      <w:pPr>
        <w:pStyle w:val="ListBullet"/>
      </w:pPr>
      <w:r>
        <w:t>Kindes- und Trennungsunterhalt,</w:t>
      </w:r>
    </w:p>
    <w:p>
      <w:pPr>
        <w:pStyle w:val="ListBullet"/>
      </w:pPr>
      <w:r>
        <w:t>Versorgungsausgleich (ggf. modifiziert),</w:t>
      </w:r>
    </w:p>
    <w:p>
      <w:pPr>
        <w:pStyle w:val="ListBullet"/>
      </w:pPr>
      <w:r>
        <w:t>Sorge und Umgang.</w:t>
      </w:r>
    </w:p>
    <w:p>
      <w:pPr>
        <w:jc w:val="left"/>
      </w:pPr>
      <w:r>
        <w:t>Wenn das gelingt, kann der Scheidungsantrag auf die reine Ehescheidung beschränkt werden, was Zeit, Kosten und Stress spart.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