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Strategie-Memo und Vergleichskorridor</w:t>
      </w:r>
    </w:p>
    <w:p>
      <w:pPr>
        <w:jc w:val="left"/>
      </w:pPr>
      <w:r>
        <w:t>Stand: September 2025</w:t>
      </w:r>
    </w:p>
    <w:p>
      <w:pPr>
        <w:jc w:val="left"/>
      </w:pPr>
      <w:r>
        <w:t>Vertraulich — intern Kanzlei</w:t>
      </w:r>
    </w:p>
    <w:p>
      <w:pPr>
        <w:jc w:val="left"/>
      </w:pPr>
      <w:r>
        <w:t>Bearbeiterin: RAin Dr. Friederike Pohl-Krauss</w:t>
      </w:r>
    </w:p>
    <w:p/>
    <w:p>
      <w:pPr>
        <w:pStyle w:val="Heading2"/>
      </w:pPr>
      <w:r>
        <w:rPr>
          <w:rFonts w:ascii="Times New Roman" w:hAnsi="Times New Roman"/>
        </w:rPr>
        <w:t>1. Gesamtlage</w:t>
      </w:r>
    </w:p>
    <w:p>
      <w:pPr>
        <w:jc w:val="left"/>
      </w:pPr>
      <w:r>
        <w:t>Hanna Trüffelberch ist finanziell in einer deutlich stärkeren Position als Franz. Sie hat das laufende Unternehmen, das Haus (faktisch), drei Kinder in Obhut und ein stabiles Einkommen. Franz hat ein kleineres Unternehmen, ein Einkommen von ca. 3.100 EUR netto und eine Mietwohnung.</w:t>
      </w:r>
    </w:p>
    <w:p>
      <w:pPr>
        <w:jc w:val="left"/>
      </w:pPr>
      <w:r>
        <w:t>Gleichzeitig hat Hanna erhebliche Zahlungspflichten, die das Verfahren komplizieren:</w:t>
      </w:r>
    </w:p>
    <w:p>
      <w:pPr>
        <w:pStyle w:val="ListBullet"/>
      </w:pPr>
      <w:r>
        <w:t>Zugewinnausgleich an Franz: ca. 217.000 EUR (vorläufig; Unsicherheit bei Bürobewertung).</w:t>
      </w:r>
    </w:p>
    <w:p>
      <w:pPr>
        <w:pStyle w:val="ListBullet"/>
      </w:pPr>
      <w:r>
        <w:t>Immobilienauskauf Franz' Anteil: ca. 319.000 EUR.</w:t>
      </w:r>
    </w:p>
    <w:p>
      <w:pPr>
        <w:pStyle w:val="ListBullet"/>
      </w:pPr>
      <w:r>
        <w:t>Trennungsunterhalt an Franz: ca. 700–1.800 EUR/Monat bis Scheidung.</w:t>
      </w:r>
    </w:p>
    <w:p>
      <w:pPr>
        <w:jc w:val="left"/>
      </w:pPr>
      <w:r>
        <w:t>Hanna hat trotz des hohen Einkommens begrenzte kurzfristige Liquidität, weil ein Großteil ihrer Vermögenswerte in der PartGmbB und der Immobilie gebunden ist.</w:t>
      </w:r>
    </w:p>
    <w:p/>
    <w:p>
      <w:pPr>
        <w:pStyle w:val="Heading2"/>
      </w:pPr>
      <w:r>
        <w:rPr>
          <w:rFonts w:ascii="Times New Roman" w:hAnsi="Times New Roman"/>
        </w:rPr>
        <w:t>2. Hebel auf Hannas Seite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Hebel</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Kindeswohlaspekte</w:t>
            </w:r>
          </w:p>
        </w:tc>
        <w:tc>
          <w:tcPr>
            <w:tcW w:type="dxa" w:w="4536"/>
          </w:tcPr>
          <w:p>
            <w:r>
              <w:rPr>
                <w:rFonts w:ascii="Times New Roman" w:hAnsi="Times New Roman"/>
                <w:sz w:val="20"/>
              </w:rPr>
              <w:t>Alkohol-Vorfall, Cochemer-Abbruch durch Franz, fehlende JA-Kooperation schwächen Franz' Position im Umgangsstreit</w:t>
            </w:r>
          </w:p>
        </w:tc>
      </w:tr>
      <w:tr>
        <w:tc>
          <w:tcPr>
            <w:tcW w:type="dxa" w:w="4536"/>
          </w:tcPr>
          <w:p>
            <w:r>
              <w:rPr>
                <w:rFonts w:ascii="Times New Roman" w:hAnsi="Times New Roman"/>
                <w:sz w:val="20"/>
              </w:rPr>
              <w:t>Franz' fehlende Unterlagen</w:t>
            </w:r>
          </w:p>
        </w:tc>
        <w:tc>
          <w:tcPr>
            <w:tcW w:type="dxa" w:w="4536"/>
          </w:tcPr>
          <w:p>
            <w:r>
              <w:rPr>
                <w:rFonts w:ascii="Times New Roman" w:hAnsi="Times New Roman"/>
                <w:sz w:val="20"/>
              </w:rPr>
              <w:t>Jahresabschlüsse Holzwerkstätten noch nicht eingereicht → Druck im Zugewinnverfahren</w:t>
            </w:r>
          </w:p>
        </w:tc>
      </w:tr>
      <w:tr>
        <w:tc>
          <w:tcPr>
            <w:tcW w:type="dxa" w:w="4536"/>
          </w:tcPr>
          <w:p>
            <w:r>
              <w:rPr>
                <w:rFonts w:ascii="Times New Roman" w:hAnsi="Times New Roman"/>
                <w:sz w:val="20"/>
              </w:rPr>
              <w:t>SBGG / Mara</w:t>
            </w:r>
          </w:p>
        </w:tc>
        <w:tc>
          <w:tcPr>
            <w:tcW w:type="dxa" w:w="4536"/>
          </w:tcPr>
          <w:p>
            <w:r>
              <w:rPr>
                <w:rFonts w:ascii="Times New Roman" w:hAnsi="Times New Roman"/>
                <w:sz w:val="20"/>
              </w:rPr>
              <w:t>Franz' Verweigerung wird vor Gericht schwer zu rechtfertigen sein → Kooperationsdefizit</w:t>
            </w:r>
          </w:p>
        </w:tc>
      </w:tr>
      <w:tr>
        <w:tc>
          <w:tcPr>
            <w:tcW w:type="dxa" w:w="4536"/>
          </w:tcPr>
          <w:p>
            <w:r>
              <w:rPr>
                <w:rFonts w:ascii="Times New Roman" w:hAnsi="Times New Roman"/>
                <w:sz w:val="20"/>
              </w:rPr>
              <w:t>Unterhaltsberechnung</w:t>
            </w:r>
          </w:p>
        </w:tc>
        <w:tc>
          <w:tcPr>
            <w:tcW w:type="dxa" w:w="4536"/>
          </w:tcPr>
          <w:p>
            <w:r>
              <w:rPr>
                <w:rFonts w:ascii="Times New Roman" w:hAnsi="Times New Roman"/>
                <w:sz w:val="20"/>
              </w:rPr>
              <w:t>Franz braucht Kindesunterhalt für die Kinder — das setzt ihn unter Druck, schnell zu einigen, weil die Mangelfall-Prüfung sein Unternehmen offenlegt</w:t>
            </w:r>
          </w:p>
        </w:tc>
      </w:tr>
      <w:tr>
        <w:tc>
          <w:tcPr>
            <w:tcW w:type="dxa" w:w="4536"/>
          </w:tcPr>
          <w:p>
            <w:r>
              <w:rPr>
                <w:rFonts w:ascii="Times New Roman" w:hAnsi="Times New Roman"/>
                <w:sz w:val="20"/>
              </w:rPr>
              <w:t>Teilungsversteigerungsabwehr</w:t>
            </w:r>
          </w:p>
        </w:tc>
        <w:tc>
          <w:tcPr>
            <w:tcW w:type="dxa" w:w="4536"/>
          </w:tcPr>
          <w:p>
            <w:r>
              <w:rPr>
                <w:rFonts w:ascii="Times New Roman" w:hAnsi="Times New Roman"/>
                <w:sz w:val="20"/>
              </w:rPr>
              <w:t>Franz hat kein Interesse an Versteigerung, die einen schlechten Erlös bringt; die Immobiliensituation zwingt ihn ebenfalls zu einer Einigung</w:t>
            </w:r>
          </w:p>
        </w:tc>
      </w:tr>
    </w:tbl>
    <w:p/>
    <w:p>
      <w:pPr>
        <w:pStyle w:val="Heading2"/>
      </w:pPr>
      <w:r>
        <w:rPr>
          <w:rFonts w:ascii="Times New Roman" w:hAnsi="Times New Roman"/>
        </w:rPr>
        <w:t>3. Hebel auf Franz' Seite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Hebel</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Trennungsunterhalt</w:t>
            </w:r>
          </w:p>
        </w:tc>
        <w:tc>
          <w:tcPr>
            <w:tcW w:type="dxa" w:w="4536"/>
          </w:tcPr>
          <w:p>
            <w:r>
              <w:rPr>
                <w:rFonts w:ascii="Times New Roman" w:hAnsi="Times New Roman"/>
                <w:sz w:val="20"/>
              </w:rPr>
              <w:t>Franz kann gegen Hanna Trennungsunterhalt fordern — erheblicher Betrag, der Hanna monatlich belastet</w:t>
            </w:r>
          </w:p>
        </w:tc>
      </w:tr>
      <w:tr>
        <w:tc>
          <w:tcPr>
            <w:tcW w:type="dxa" w:w="4536"/>
          </w:tcPr>
          <w:p>
            <w:r>
              <w:rPr>
                <w:rFonts w:ascii="Times New Roman" w:hAnsi="Times New Roman"/>
                <w:sz w:val="20"/>
              </w:rPr>
              <w:t>Zugewinnausgleich</w:t>
            </w:r>
          </w:p>
        </w:tc>
        <w:tc>
          <w:tcPr>
            <w:tcW w:type="dxa" w:w="4536"/>
          </w:tcPr>
          <w:p>
            <w:r>
              <w:rPr>
                <w:rFonts w:ascii="Times New Roman" w:hAnsi="Times New Roman"/>
                <w:sz w:val="20"/>
              </w:rPr>
              <w:t>Franz hat eine legitime Forderung von ca. 217.000 EUR — kann auf sofortige Fälligkeit bestehen</w:t>
            </w:r>
          </w:p>
        </w:tc>
      </w:tr>
      <w:tr>
        <w:tc>
          <w:tcPr>
            <w:tcW w:type="dxa" w:w="4536"/>
          </w:tcPr>
          <w:p>
            <w:r>
              <w:rPr>
                <w:rFonts w:ascii="Times New Roman" w:hAnsi="Times New Roman"/>
                <w:sz w:val="20"/>
              </w:rPr>
              <w:t>Unternehmensbewertung</w:t>
            </w:r>
          </w:p>
        </w:tc>
        <w:tc>
          <w:tcPr>
            <w:tcW w:type="dxa" w:w="4536"/>
          </w:tcPr>
          <w:p>
            <w:r>
              <w:rPr>
                <w:rFonts w:ascii="Times New Roman" w:hAnsi="Times New Roman"/>
                <w:sz w:val="20"/>
              </w:rPr>
              <w:t>Franz wird ein Gegengutachten einholen, das den Bürowert niedriger ansetzt und Hannas Ausgleichspflicht erhöht (oder Franz' Zahlungspflicht senkt)</w:t>
            </w:r>
          </w:p>
        </w:tc>
      </w:tr>
      <w:tr>
        <w:tc>
          <w:tcPr>
            <w:tcW w:type="dxa" w:w="4536"/>
          </w:tcPr>
          <w:p>
            <w:r>
              <w:rPr>
                <w:rFonts w:ascii="Times New Roman" w:hAnsi="Times New Roman"/>
                <w:sz w:val="20"/>
              </w:rPr>
              <w:t>Wechselmodell-Eskalation</w:t>
            </w:r>
          </w:p>
        </w:tc>
        <w:tc>
          <w:tcPr>
            <w:tcW w:type="dxa" w:w="4536"/>
          </w:tcPr>
          <w:p>
            <w:r>
              <w:rPr>
                <w:rFonts w:ascii="Times New Roman" w:hAnsi="Times New Roman"/>
                <w:sz w:val="20"/>
              </w:rPr>
              <w:t>Franz kann das Familiengericht mit Kindesrechtsanträgen beschäftigen → Verzögerung, Kosten, Stress</w:t>
            </w:r>
          </w:p>
        </w:tc>
      </w:tr>
      <w:tr>
        <w:tc>
          <w:tcPr>
            <w:tcW w:type="dxa" w:w="4536"/>
          </w:tcPr>
          <w:p>
            <w:r>
              <w:rPr>
                <w:rFonts w:ascii="Times New Roman" w:hAnsi="Times New Roman"/>
                <w:sz w:val="20"/>
              </w:rPr>
              <w:t>SBGG-Widerstand</w:t>
            </w:r>
          </w:p>
        </w:tc>
        <w:tc>
          <w:tcPr>
            <w:tcW w:type="dxa" w:w="4536"/>
          </w:tcPr>
          <w:p>
            <w:r>
              <w:rPr>
                <w:rFonts w:ascii="Times New Roman" w:hAnsi="Times New Roman"/>
                <w:sz w:val="20"/>
              </w:rPr>
              <w:t>Verzögerungstaktik; bindet Ressourcen</w:t>
            </w:r>
          </w:p>
        </w:tc>
      </w:tr>
    </w:tbl>
    <w:p/>
    <w:p>
      <w:pPr>
        <w:pStyle w:val="Heading2"/>
      </w:pPr>
      <w:r>
        <w:rPr>
          <w:rFonts w:ascii="Times New Roman" w:hAnsi="Times New Roman"/>
        </w:rPr>
        <w:t>4. Vergleichskorridor</w:t>
      </w:r>
    </w:p>
    <w:p>
      <w:pPr>
        <w:jc w:val="left"/>
      </w:pPr>
      <w:r>
        <w:t>Eine Einigung ist im Interesse beider Seiten. Der realistische Vergleichskorridor ergibt sich aus folgenden Eckpunkten:</w:t>
      </w:r>
    </w:p>
    <w:p>
      <w:pPr>
        <w:pStyle w:val="Heading3"/>
      </w:pPr>
      <w:r>
        <w:rPr>
          <w:rFonts w:ascii="Times New Roman" w:hAnsi="Times New Roman"/>
        </w:rPr>
        <w:t>4.1 Umgang und Sorge</w:t>
      </w:r>
    </w:p>
    <w:p>
      <w:pPr>
        <w:jc w:val="left"/>
      </w:pPr>
      <w:r>
        <w:rPr>
          <w:b/>
        </w:rPr>
        <w:t>Hanna-Minimum:</w:t>
      </w:r>
      <w:r>
        <w:t xml:space="preserve"> Residenzmodell, Franz 14-tägiges Wochenende + 1 Mittwochabend.</w:t>
      </w:r>
    </w:p>
    <w:p>
      <w:pPr>
        <w:jc w:val="left"/>
      </w:pPr>
      <w:r>
        <w:rPr>
          <w:b/>
        </w:rPr>
        <w:t>Franz-Maximum:</w:t>
      </w:r>
      <w:r>
        <w:t xml:space="preserve"> Wechselmodell 50/50.</w:t>
      </w:r>
    </w:p>
    <w:p>
      <w:pPr>
        <w:jc w:val="left"/>
      </w:pPr>
      <w:r>
        <w:rPr>
          <w:b/>
        </w:rPr>
        <w:t>Realistischer Kompromiss:</w:t>
      </w:r>
      <w:r>
        <w:t xml:space="preserve"> Entwurf B (Cochemer-Empfehlung) mit 70/30-Betreuungsanteil und Ferien 50/50. Erweiterter Umgang an Feiertagen.</w:t>
      </w:r>
    </w:p>
    <w:p>
      <w:pPr>
        <w:jc w:val="left"/>
      </w:pPr>
      <w:r>
        <w:rPr>
          <w:b/>
        </w:rPr>
        <w:t>SBGG-Zustimmung Franz:</w:t>
      </w:r>
      <w:r>
        <w:t xml:space="preserve"> Gegen eine Zugeständnisse in anderen Bereichen (z.B. weniger Trennungsunterhalt) könnte Franz hier nachgeben.</w:t>
      </w:r>
    </w:p>
    <w:p>
      <w:pPr>
        <w:pStyle w:val="Heading3"/>
      </w:pPr>
      <w:r>
        <w:rPr>
          <w:rFonts w:ascii="Times New Roman" w:hAnsi="Times New Roman"/>
        </w:rPr>
        <w:t>4.2 Zugewinnausgleich</w:t>
      </w:r>
    </w:p>
    <w:p>
      <w:pPr>
        <w:jc w:val="left"/>
      </w:pPr>
      <w:r>
        <w:rPr>
          <w:b/>
        </w:rPr>
        <w:t>Franz-Ausgangsforderung (geschätzt):</w:t>
      </w:r>
      <w:r>
        <w:t xml:space="preserve"> 217.000–280.000 EUR (je nach eigenem Gutachten).</w:t>
      </w:r>
    </w:p>
    <w:p>
      <w:pPr>
        <w:jc w:val="left"/>
      </w:pPr>
      <w:r>
        <w:rPr>
          <w:b/>
        </w:rPr>
        <w:t>Hanna-Zielposition:</w:t>
      </w:r>
      <w:r>
        <w:t xml:space="preserve"> 180.000 EUR (Abschlag für Unternehmensgoodwill, Vinkulierung, Realisierbarkeit).</w:t>
      </w:r>
    </w:p>
    <w:p>
      <w:pPr>
        <w:jc w:val="left"/>
      </w:pPr>
      <w:r>
        <w:rPr>
          <w:b/>
        </w:rPr>
        <w:t>Einigungskorridor:</w:t>
      </w:r>
      <w:r>
        <w:t xml:space="preserve"> 190.000–220.000 EUR.</w:t>
      </w:r>
    </w:p>
    <w:p>
      <w:pPr>
        <w:pStyle w:val="Heading3"/>
      </w:pPr>
      <w:r>
        <w:rPr>
          <w:rFonts w:ascii="Times New Roman" w:hAnsi="Times New Roman"/>
        </w:rPr>
        <w:t>4.3 Immobilie</w:t>
      </w:r>
    </w:p>
    <w:p>
      <w:pPr>
        <w:jc w:val="left"/>
      </w:pPr>
      <w:r>
        <w:rPr>
          <w:b/>
        </w:rPr>
        <w:t>Hanna-Ziel:</w:t>
      </w:r>
      <w:r>
        <w:t xml:space="preserve"> Auskauf Franz' Anteil zu fairen Bedingungen; Stundung eines Teils.</w:t>
      </w:r>
    </w:p>
    <w:p>
      <w:pPr>
        <w:jc w:val="left"/>
      </w:pPr>
      <w:r>
        <w:rPr>
          <w:b/>
        </w:rPr>
        <w:t>Franz' voraussichtliche Forderung:</w:t>
      </w:r>
      <w:r>
        <w:t xml:space="preserve"> Auszahlung des vollen rechnerischen Anteils (ca. 319.000 EUR).</w:t>
      </w:r>
    </w:p>
    <w:p>
      <w:pPr>
        <w:jc w:val="left"/>
      </w:pPr>
      <w:r>
        <w:rPr>
          <w:b/>
        </w:rPr>
        <w:t>Vergleichsmodell:</w:t>
      </w:r>
      <w:r>
        <w:t xml:space="preserve"> Hanna zahlt 280.000 EUR sofort (Refinanzierung), stundet 39.000 EUR über 3 Jahre. Franz stimmt Schuldübernahme durch Hanna beim Bankdarlehen zu.</w:t>
      </w:r>
    </w:p>
    <w:p>
      <w:pPr>
        <w:pStyle w:val="Heading3"/>
      </w:pPr>
      <w:r>
        <w:rPr>
          <w:rFonts w:ascii="Times New Roman" w:hAnsi="Times New Roman"/>
        </w:rPr>
        <w:t>4.4 Unterhalt</w:t>
      </w:r>
    </w:p>
    <w:p>
      <w:pPr>
        <w:jc w:val="left"/>
      </w:pPr>
      <w:r>
        <w:rPr>
          <w:b/>
        </w:rPr>
        <w:t>Trennungsunterhalt:</w:t>
      </w:r>
      <w:r>
        <w:t xml:space="preserve"> Einigung auf monatlich 900 EUR (kompromissweiser Mittelwert aus Berechnungsspanne) bis zur Scheidung.</w:t>
      </w:r>
    </w:p>
    <w:p>
      <w:pPr>
        <w:jc w:val="left"/>
      </w:pPr>
      <w:r>
        <w:rPr>
          <w:b/>
        </w:rPr>
        <w:t>Kindesunterhalt:</w:t>
      </w:r>
      <w:r>
        <w:t xml:space="preserve"> Tabellenbetrag nach Düsseldorfer Tabelle 2026 (drei Kinder ca. 1.420 EUR/Monat gesamt) als fester Betrag.</w:t>
      </w:r>
    </w:p>
    <w:p>
      <w:pPr>
        <w:jc w:val="left"/>
      </w:pPr>
      <w:r>
        <w:rPr>
          <w:b/>
        </w:rPr>
        <w:t>Nachehelicher Unterhalt:</w:t>
      </w:r>
      <w:r>
        <w:t xml:space="preserve"> Wahrscheinlich kein Anspruch Franz' langfristig (Erwerbsobliegenheit, eigenständige Selbstständigkeit).</w:t>
      </w:r>
    </w:p>
    <w:p>
      <w:pPr>
        <w:pStyle w:val="Heading3"/>
      </w:pPr>
      <w:r>
        <w:rPr>
          <w:rFonts w:ascii="Times New Roman" w:hAnsi="Times New Roman"/>
        </w:rPr>
        <w:t>4.5 Versorgungsausgleich</w:t>
      </w:r>
    </w:p>
    <w:p>
      <w:pPr>
        <w:jc w:val="left"/>
      </w:pPr>
      <w:r>
        <w:t>Interne Teilung des AKNS-Anteils (Franz erhält ca. 1.071 EUR/Monat späteren Rentenanspruch bei AKNS). GRV-Ausgleich nach Standard. Kein Ausschluss.</w:t>
      </w:r>
    </w:p>
    <w:p/>
    <w:p>
      <w:pPr>
        <w:pStyle w:val="Heading2"/>
      </w:pPr>
      <w:r>
        <w:rPr>
          <w:rFonts w:ascii="Times New Roman" w:hAnsi="Times New Roman"/>
        </w:rPr>
        <w:t>5. Zeitachse und Best/Worst-Case</w:t>
      </w:r>
    </w:p>
    <w:p>
      <w:pPr>
        <w:pStyle w:val="Heading3"/>
      </w:pPr>
      <w:r>
        <w:rPr>
          <w:rFonts w:ascii="Times New Roman" w:hAnsi="Times New Roman"/>
        </w:rPr>
        <w:t>Best-Case (Einigung Ende 2025 / Anfang 2026)</w:t>
      </w:r>
    </w:p>
    <w:p>
      <w:pPr>
        <w:pStyle w:val="ListBullet"/>
      </w:pPr>
      <w:r>
        <w:t>Notarieller Scheidungsfolgenvertrag bis Dezember 2025.</w:t>
      </w:r>
    </w:p>
    <w:p>
      <w:pPr>
        <w:pStyle w:val="ListBullet"/>
      </w:pPr>
      <w:r>
        <w:t>Scheidungsantrag Anfang 2026, nur Scheidung + Versorgungsausgleich als Pflichtfachsache.</w:t>
      </w:r>
    </w:p>
    <w:p>
      <w:pPr>
        <w:pStyle w:val="ListBullet"/>
      </w:pPr>
      <w:r>
        <w:t>Scheidung rechtskräftig Sommer 2026.</w:t>
      </w:r>
    </w:p>
    <w:p>
      <w:pPr>
        <w:pStyle w:val="ListBullet"/>
      </w:pPr>
      <w:r>
        <w:t>Gesamtkosten für Hanna (Anwalt, Notar, Gutachter): ca. 35.000–55.000 EUR.</w:t>
      </w:r>
    </w:p>
    <w:p>
      <w:pPr>
        <w:pStyle w:val="Heading3"/>
      </w:pPr>
      <w:r>
        <w:rPr>
          <w:rFonts w:ascii="Times New Roman" w:hAnsi="Times New Roman"/>
        </w:rPr>
        <w:t>Mittlerer Fall (Scheidung Herbst 2026)</w:t>
      </w:r>
    </w:p>
    <w:p>
      <w:pPr>
        <w:pStyle w:val="ListBullet"/>
      </w:pPr>
      <w:r>
        <w:t>Scheidungsantrag Januar 2026 mit Verbundverfahren.</w:t>
      </w:r>
    </w:p>
    <w:p>
      <w:pPr>
        <w:pStyle w:val="ListBullet"/>
      </w:pPr>
      <w:r>
        <w:t>Einigung in der mündlichen Verhandlung oder kurz davor.</w:t>
      </w:r>
    </w:p>
    <w:p>
      <w:pPr>
        <w:pStyle w:val="ListBullet"/>
      </w:pPr>
      <w:r>
        <w:t>Scheidung rechtskräftig Herbst 2026.</w:t>
      </w:r>
    </w:p>
    <w:p>
      <w:pPr>
        <w:pStyle w:val="ListBullet"/>
      </w:pPr>
      <w:r>
        <w:t>Gesamtkosten ca. 60.000–90.000 EUR.</w:t>
      </w:r>
    </w:p>
    <w:p>
      <w:pPr>
        <w:pStyle w:val="Heading3"/>
      </w:pPr>
      <w:r>
        <w:rPr>
          <w:rFonts w:ascii="Times New Roman" w:hAnsi="Times New Roman"/>
        </w:rPr>
        <w:t>Worst-Case (Eskalation, Vollverfahren)</w:t>
      </w:r>
    </w:p>
    <w:p>
      <w:pPr>
        <w:pStyle w:val="ListBullet"/>
      </w:pPr>
      <w:r>
        <w:t>Kindschaftssache vor Scheidung, Sachverständigengutachten Kinder.</w:t>
      </w:r>
    </w:p>
    <w:p>
      <w:pPr>
        <w:pStyle w:val="ListBullet"/>
      </w:pPr>
      <w:r>
        <w:t>Zugewinnstreit mit zwei Gegengutachten.</w:t>
      </w:r>
    </w:p>
    <w:p>
      <w:pPr>
        <w:pStyle w:val="ListBullet"/>
      </w:pPr>
      <w:r>
        <w:t>Versorgungsausgleich durch Gericht, externe Teilung AKNS strittig.</w:t>
      </w:r>
    </w:p>
    <w:p>
      <w:pPr>
        <w:pStyle w:val="ListBullet"/>
      </w:pPr>
      <w:r>
        <w:t>Scheidung nicht vor Mitte 2027.</w:t>
      </w:r>
    </w:p>
    <w:p>
      <w:pPr>
        <w:pStyle w:val="ListBullet"/>
      </w:pPr>
      <w:r>
        <w:t>Gesamtkosten für Hanna: 120.000–200.000 EUR.</w:t>
      </w:r>
    </w:p>
    <w:p/>
    <w:p>
      <w:pPr>
        <w:pStyle w:val="Heading2"/>
      </w:pPr>
      <w:r>
        <w:rPr>
          <w:rFonts w:ascii="Times New Roman" w:hAnsi="Times New Roman"/>
        </w:rPr>
        <w:t>6. Empfehlung</w:t>
      </w:r>
    </w:p>
    <w:p>
      <w:pPr>
        <w:jc w:val="left"/>
      </w:pPr>
      <w:r>
        <w:t>Die Kanzlei empfiehlt Hanna:</w:t>
      </w:r>
    </w:p>
    <w:p>
      <w:pPr>
        <w:pStyle w:val="ListNumber"/>
      </w:pPr>
      <w:r>
        <w:rPr>
          <w:b/>
        </w:rPr>
        <w:t>Jetzt:</w:t>
      </w:r>
      <w:r>
        <w:t xml:space="preserve"> Jahresabschlüsse Holzwerkstätten e.K. formal einfordern (Frist 6 Wochen); parallel erste Vergleichsgespräche über RAin Ganzhorn anregen.</w:t>
      </w:r>
    </w:p>
    <w:p>
      <w:pPr>
        <w:pStyle w:val="ListNumber"/>
      </w:pPr>
      <w:r>
        <w:rPr>
          <w:b/>
        </w:rPr>
        <w:t>Oktober 2025:</w:t>
      </w:r>
      <w:r>
        <w:t xml:space="preserve"> Ergebnis SBGG-Frist abwarten; ggf. Antrag auf gerichtliche Ersatzzustimmung parallel vorbereiten.</w:t>
      </w:r>
    </w:p>
    <w:p>
      <w:pPr>
        <w:pStyle w:val="ListNumber"/>
      </w:pPr>
      <w:r>
        <w:rPr>
          <w:b/>
        </w:rPr>
        <w:t>November 2025:</w:t>
      </w:r>
      <w:r>
        <w:t xml:space="preserve"> Trennungsunterhalt formell geltend machen (Verzugsdatum setzen) — das schafft Verhandlungsbereitschaft bei Franz.</w:t>
      </w:r>
    </w:p>
    <w:p>
      <w:pPr>
        <w:pStyle w:val="ListNumber"/>
      </w:pPr>
      <w:r>
        <w:rPr>
          <w:b/>
        </w:rPr>
        <w:t>Dezember 2025:</w:t>
      </w:r>
      <w:r>
        <w:t xml:space="preserve"> Vergleichsgespräch mit konkretem Zahlenpaket — idealerweise über Mediator oder im 4-Augen-Gespräch der Anwältinnen.</w:t>
      </w:r>
    </w:p>
    <w:p>
      <w:pPr>
        <w:pStyle w:val="ListNumber"/>
      </w:pPr>
      <w:r>
        <w:rPr>
          <w:b/>
        </w:rPr>
        <w:t>Januar 2026:</w:t>
      </w:r>
      <w:r>
        <w:t xml:space="preserve"> Falls keine Einigung, Scheidungsantrag mit Verbund einreichen.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