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Beweismittel, Zeugen und Anhörung der Kinder</w:t>
      </w:r>
    </w:p>
    <w:p>
      <w:pPr>
        <w:jc w:val="left"/>
      </w:pPr>
      <w:r>
        <w:t>Stand: September 2025</w:t>
      </w:r>
    </w:p>
    <w:p>
      <w:pPr>
        <w:jc w:val="left"/>
      </w:pPr>
      <w:r>
        <w:t>Bearbeiterin: RAin Dr. Friederike Pohl-Krauss / RAin Helmstedt</w:t>
      </w:r>
    </w:p>
    <w:p/>
    <w:p>
      <w:pPr>
        <w:pStyle w:val="Heading2"/>
      </w:pPr>
      <w:r>
        <w:rPr>
          <w:rFonts w:ascii="Times New Roman" w:hAnsi="Times New Roman"/>
        </w:rPr>
        <w:t>1. Überblick Beweisfragen</w:t>
      </w:r>
    </w:p>
    <w:p>
      <w:pPr>
        <w:jc w:val="left"/>
      </w:pPr>
      <w:r>
        <w:t>Das Verfahren hat mehrere parallele Beweisfelder: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Themenfeld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Umgang / Kindeswohl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Alkohol-Vorfall, Kinder-Wohlbefinden, Franz' Kooperationsverhalten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Maras Aussage, Schulpsychologin, JA-Protokoll, Jugendamt-Stellungnahme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Zugewinn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Architekturbüro, Wert Holzwerkstätten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Parteigutachten WP Dreschler, ggf. Gerichtsgutachten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Franz tatsächlich und zurechenbar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Jahresabschlüsse, Steuerbescheide, Bankkontoauszüge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Versorgungsausgleich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Anwartschaften beider Parteien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Auskünfte Versorgungsträger (§ 5 VersAusglG)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Immobilie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SV-Gutachten Klausberg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SBGG / Mara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Kindeswille, psychische Stabilität, Ernsthaftigkeit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Beratungsschein Kompass, Aussage Mara ggf. vor Gericht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Zeugenliste</w:t>
      </w:r>
    </w:p>
    <w:p>
      <w:pPr>
        <w:pStyle w:val="Heading3"/>
      </w:pPr>
      <w:r>
        <w:rPr>
          <w:rFonts w:ascii="Times New Roman" w:hAnsi="Times New Roman"/>
        </w:rPr>
        <w:t>2.1 Zeugen Hanna-Seite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 welchem 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Müller-Tessar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Klassenlehrerin Mara, Goetheschule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Hat Maras Schilderung zum Alkohol-Vorfall entgegengenommen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Rennert-Klein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Schulpsychologin Goetheschule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Gespräch mit Mara 04.03.2025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Kowalczyk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Sachbearbeiterin Hannover-Linden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JA-Gespräch Hanna 20.03.2025; Beobachtung Situation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Brandt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Familienpsychologin / Cochemer-Koordinatorin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Franz' Verweigerung zweiten Termins, Elternkommunikation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Wendorf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Familienhelfer AWO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Beobachtung der Kinder im Haushalt Hanna seit April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Barbu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Haushaltshilfe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Alltagsbetreuung, Zuverlässigkeit, Haushaltsstruktur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WP Dr. Dreschler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Wirtschaftsprüfer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Architekturbüro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Klausberg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Sachverständiger Immobilien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Lindener Hofstraße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Mögliche Zeugen Franz-Seite (antizipiert)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Zu welchem Thema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 Holzwerkstätten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Franz' Arbeitsfähigkeit, Auftreten im Betrieb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Bekannte / Freunde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Charakterbild, Verhältnis zu Kindern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Anhörung der Kinder (§ 159 FamFG)</w:t>
      </w:r>
    </w:p>
    <w:p>
      <w:pPr>
        <w:pStyle w:val="Heading3"/>
      </w:pPr>
      <w:r>
        <w:rPr>
          <w:rFonts w:ascii="Times New Roman" w:hAnsi="Times New Roman"/>
        </w:rPr>
        <w:t>3.1 Mara (15 Jahre)</w:t>
      </w:r>
    </w:p>
    <w:p>
      <w:pPr>
        <w:jc w:val="left"/>
      </w:pPr>
      <w:r>
        <w:t>Mara ist 15 Jahre alt; das Familiengericht muss sie in Kindschaftssachen persönlich anhören. Ihr Wille hat erhebliches Gewicht. Das Gericht ist nicht daran gebunden, aber bei 15-Jährigen ist ein entgegenstehender Wille nur mit sehr gewichtigen Gründen zu übergehen.</w:t>
      </w:r>
    </w:p>
    <w:p>
      <w:pPr>
        <w:jc w:val="left"/>
      </w:pPr>
      <w:r>
        <w:t>Mara hat gegenüber Hanna erklärt:</w:t>
      </w:r>
    </w:p>
    <w:p>
      <w:pPr>
        <w:pStyle w:val="ListBullet"/>
      </w:pPr>
      <w:r>
        <w:t>Sie wolle nicht im Wochenwechsel pendeln.</w:t>
      </w:r>
    </w:p>
    <w:p>
      <w:pPr>
        <w:pStyle w:val="ListBullet"/>
      </w:pPr>
      <w:r>
        <w:t>Sie wolle Stabilität in Schule und Freundeskreis.</w:t>
      </w:r>
    </w:p>
    <w:p>
      <w:pPr>
        <w:pStyle w:val="ListBullet"/>
      </w:pPr>
      <w:r>
        <w:t>Sie habe Angst, „Sachen von Papa zu sehen, die mir Angst machen" — bezieht sich auf den 22.02.2025-Abend.</w:t>
      </w:r>
    </w:p>
    <w:p>
      <w:pPr>
        <w:pStyle w:val="ListBullet"/>
      </w:pPr>
      <w:r>
        <w:t>Sie unterstützt aktiv ihren SBGG-Antrag.</w:t>
      </w:r>
    </w:p>
    <w:p>
      <w:pPr>
        <w:jc w:val="left"/>
      </w:pPr>
      <w:r>
        <w:rPr>
          <w:b/>
        </w:rPr>
        <w:t>Wichtig:</w:t>
      </w:r>
      <w:r>
        <w:t xml:space="preserve"> Hanna soll Mara nicht auf die Anhörung vorbereiten oder ihr Aussageinhalte suggerieren. Das könnte als Beeinflussung gewertet werden und die Glaubwürdigkeit der Aussage beschädigen.</w:t>
      </w:r>
    </w:p>
    <w:p>
      <w:pPr>
        <w:pStyle w:val="Heading3"/>
      </w:pPr>
      <w:r>
        <w:rPr>
          <w:rFonts w:ascii="Times New Roman" w:hAnsi="Times New Roman"/>
        </w:rPr>
        <w:t>3.2 Jonas (12 Jahre)</w:t>
      </w:r>
    </w:p>
    <w:p>
      <w:pPr>
        <w:jc w:val="left"/>
      </w:pPr>
      <w:r>
        <w:t>Jonas ist 12 Jahre alt. Das Gericht wird ihn nach Ermessen anhören. Jonas hat widersprüchliche Signale gegeben:</w:t>
      </w:r>
    </w:p>
    <w:p>
      <w:pPr>
        <w:pStyle w:val="ListBullet"/>
      </w:pPr>
      <w:r>
        <w:t>Er vermisst den Vater aktiv.</w:t>
      </w:r>
    </w:p>
    <w:p>
      <w:pPr>
        <w:pStyle w:val="ListBullet"/>
      </w:pPr>
      <w:r>
        <w:t>Er wünscht sich mehr Umgang.</w:t>
      </w:r>
    </w:p>
    <w:p>
      <w:pPr>
        <w:pStyle w:val="ListBullet"/>
      </w:pPr>
      <w:r>
        <w:t>Gleichzeitig hat er den Alkohol-Abend als „komisch" beschrieben und sich damals abgekapselt.</w:t>
      </w:r>
    </w:p>
    <w:p>
      <w:pPr>
        <w:jc w:val="left"/>
      </w:pPr>
      <w:r>
        <w:t>Das ist keine Fehler-Aussage — es ist eine kindliche Ambivalenz, die auch gerichtlich so zu respektieren ist. Der Verfahrensbeistand kann Jonas' Position unabhängig herausarbeiten.</w:t>
      </w:r>
    </w:p>
    <w:p>
      <w:pPr>
        <w:pStyle w:val="Heading3"/>
      </w:pPr>
      <w:r>
        <w:rPr>
          <w:rFonts w:ascii="Times New Roman" w:hAnsi="Times New Roman"/>
        </w:rPr>
        <w:t>3.3 Lina (9 Jahre)</w:t>
      </w:r>
    </w:p>
    <w:p>
      <w:pPr>
        <w:jc w:val="left"/>
      </w:pPr>
      <w:r>
        <w:t>Lina ist 9 Jahre alt. Eine direkte Anhörung durch das Gericht ist möglich, aber nicht zwingend. Oft wird der Verfahrensbeistand für jüngere Kinder als Stimme eingesetzt. Linas emotionale Reaktionen (Weinen nach dem Feb.-Wochenende, Schlafprobleme) sind relevant, aber als 9-Jährige kann sie die Trennungssituation noch nicht kognitiv artikulieren.</w:t>
      </w:r>
    </w:p>
    <w:p/>
    <w:p>
      <w:pPr>
        <w:pStyle w:val="Heading2"/>
      </w:pPr>
      <w:r>
        <w:rPr>
          <w:rFonts w:ascii="Times New Roman" w:hAnsi="Times New Roman"/>
        </w:rPr>
        <w:t>4. Verfahrensbeistandschaft (§ 158 FamFG)</w:t>
      </w:r>
    </w:p>
    <w:p>
      <w:pPr>
        <w:jc w:val="left"/>
      </w:pPr>
      <w:r>
        <w:t>In Kindschaftsverfahren bestellt das Familiengericht in der Regel einen Verfahrensbeistand für die Kinder, wenn:</w:t>
      </w:r>
    </w:p>
    <w:p>
      <w:pPr>
        <w:pStyle w:val="ListBullet"/>
      </w:pPr>
      <w:r>
        <w:t>Eltern über Umgang oder Sorge streiten,</w:t>
      </w:r>
    </w:p>
    <w:p>
      <w:pPr>
        <w:pStyle w:val="ListBullet"/>
      </w:pPr>
      <w:r>
        <w:t>das Gericht Kindeswohl-Bedenken hat, oder</w:t>
      </w:r>
    </w:p>
    <w:p>
      <w:pPr>
        <w:pStyle w:val="ListBullet"/>
      </w:pPr>
      <w:r>
        <w:t>der Wille der Kinder besonders zu ermitteln ist.</w:t>
      </w:r>
    </w:p>
    <w:p>
      <w:pPr>
        <w:jc w:val="left"/>
      </w:pPr>
      <w:r>
        <w:t>Die Kanzlei empfiehlt, dass Hanna frühzeitig einen Verfahrensbeistand für alle drei Kinder beantragt. Der Verfahrensbeistand ist nicht Hannas Vertreter — er vertritt die Kinder eigenständig. Das ist wichtig für Hanna zu verstehen: Der Verfahrensbeistand könnte auch Positionen vertreten, die nicht mit Hannas Zielen übereinstimmen.</w:t>
      </w:r>
    </w:p>
    <w:p>
      <w:pPr>
        <w:jc w:val="left"/>
      </w:pPr>
      <w:r>
        <w:t>Geeignete Verfahrensbeiständinnen im Bezirk Hannover: Kanzlei hat eine Liste von vier zertifizierten Fachkräften. In Abstimmung mit RAin Helmstedt.</w:t>
      </w:r>
    </w:p>
    <w:p/>
    <w:p>
      <w:pPr>
        <w:pStyle w:val="Heading2"/>
      </w:pPr>
      <w:r>
        <w:rPr>
          <w:rFonts w:ascii="Times New Roman" w:hAnsi="Times New Roman"/>
        </w:rPr>
        <w:t>5. Sachverständigengutachten (§ 163 FamFG)</w:t>
      </w:r>
    </w:p>
    <w:p>
      <w:pPr>
        <w:jc w:val="left"/>
      </w:pPr>
      <w:r>
        <w:t>Das Gericht kann ein familienpsychologisches Gutachten anordnen. Ein solches Gutachten untersucht:</w:t>
      </w:r>
    </w:p>
    <w:p>
      <w:pPr>
        <w:pStyle w:val="ListBullet"/>
      </w:pPr>
      <w:r>
        <w:t>Die Bindungen der Kinder an beide Elternteile.</w:t>
      </w:r>
    </w:p>
    <w:p>
      <w:pPr>
        <w:pStyle w:val="ListBullet"/>
      </w:pPr>
      <w:r>
        <w:t>Die Erziehungseignung beider Elternteile.</w:t>
      </w:r>
    </w:p>
    <w:p>
      <w:pPr>
        <w:pStyle w:val="ListBullet"/>
      </w:pPr>
      <w:r>
        <w:t>Den Kindeswillen (sofern geäußert).</w:t>
      </w:r>
    </w:p>
    <w:p>
      <w:pPr>
        <w:pStyle w:val="ListBullet"/>
      </w:pPr>
      <w:r>
        <w:t>Besondere Belastungsfaktoren.</w:t>
      </w:r>
    </w:p>
    <w:p>
      <w:pPr>
        <w:jc w:val="left"/>
      </w:pPr>
      <w:r>
        <w:t>Ein Gutachten kann 6–18 Monate dauern und ist kostspielig (3.000–15.000 EUR). Hanna hat Bedenken, die Kinder diesem Verfahren auszusetzen.</w:t>
      </w:r>
    </w:p>
    <w:p>
      <w:pPr>
        <w:jc w:val="left"/>
      </w:pPr>
      <w:r>
        <w:rPr>
          <w:b/>
        </w:rPr>
        <w:t>Empfehlung:</w:t>
      </w:r>
      <w:r>
        <w:t xml:space="preserve"> Kein Antrag auf Gutachten durch Hanna. Falls Franz es beantragt oder das Gericht es von Amts wegen anordnet, kooperieren. Den Kindern klarmachen, dass ein Gutachten kein Verhör ist.</w:t>
      </w:r>
    </w:p>
    <w:p/>
    <w:p>
      <w:pPr>
        <w:pStyle w:val="Heading2"/>
      </w:pPr>
      <w:r>
        <w:rPr>
          <w:rFonts w:ascii="Times New Roman" w:hAnsi="Times New Roman"/>
        </w:rPr>
        <w:t>6. Urkundliche Beweismittel — Vollständige 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Aufbewahrungsort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Heiratsurkunde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bei Hanna; RAin Helmstedt angefordert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Geburtsurkunden Kinder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Hanna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Grundbuchauszug Immobilie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Helmstedt bestellt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Wirtschaftsgutachten WP Dreschler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+ Aktenstück 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Immobiliengutachten SV Klausberg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PDF-Anlage + Aktenstück 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Vorabauskunft AKNS-Versorgungswerk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PDF-Anlage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DRV-Auskunft (Hanna)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Scheidungsantrag durch Gericht angefordert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Jahresabschlüsse PartGmbB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WP Dreschler, Kanzlei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Jahresabschlüsse Holzwerkstätten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vollständig vorliegend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Screenshots Hanna/Franz WhatsApp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(für Kommunikationsanalyse)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JA-Brief 10.03.2025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Schulleitung-EML 10.07.2025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EML-Anlage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Beratungsschein Kompass (SBGG)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Cochemer-Protokoll Frau Brandt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Angefordert; teilweise vorliegend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Kontoauszüge Hanna (6 Monate)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Volksbank-Darlehensauszug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Offene Beweislücken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Jahresabschlüsse Franz (2022–2024)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Formelle Aufforderung über RAin Ganzhorn mit 6-Wochen-Frist; ggf. Auskunftsklage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Geschäftskonto Franz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Auskunftsklage parallel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Allianz-LV Franz (Vers.ausweis)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Ganzhorn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JA-Gesprächsprotokoll 20.03.2025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Helmstedt hakt nach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Cochemer-Vollprotokoll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Frau Brandt hat Entwurf; Abnahme steht aus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