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w:t>
      </w:r>
    </w:p>
    <w:p>
      <w:pPr>
        <w:jc w:val="left"/>
      </w:pPr>
      <w:r>
        <w:t>Schulrecht: 14-jährige Schülerin mit ADHS-/LRS-Nachteilsausgleich, Mobbingvorwurf, Handyvideo, Unterrichtsausschluss, drohender Schulwechsel und Streit um Ganztagsbetreuung.</w:t>
      </w:r>
    </w:p>
    <w:p>
      <w:pPr>
        <w:jc w:val="left"/>
      </w:pPr>
      <w:r>
        <w:t>Die Unterlagen kommen aus verschiedenen Quellen und sind nicht widerspruchsfrei. Zuerst sind Bundesland, zuständige Stelle, konkrete Ordnung, Frist und Aktenstück zu klären. Keine Aussage wird ohne Normenkette oder Beleg hart formuliert.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